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03" w:rsidRPr="00D43AC0" w:rsidRDefault="005F7703" w:rsidP="005F7703">
      <w:pPr>
        <w:jc w:val="center"/>
        <w:rPr>
          <w:b/>
          <w:sz w:val="32"/>
          <w:szCs w:val="32"/>
        </w:rPr>
      </w:pPr>
      <w:r w:rsidRPr="00D43AC0">
        <w:rPr>
          <w:b/>
          <w:noProof/>
          <w:sz w:val="32"/>
          <w:szCs w:val="32"/>
          <w:lang w:eastAsia="el-GR"/>
        </w:rPr>
        <w:drawing>
          <wp:anchor distT="0" distB="0" distL="114300" distR="114300" simplePos="0" relativeHeight="251662336" behindDoc="0" locked="0" layoutInCell="1" allowOverlap="1">
            <wp:simplePos x="0" y="0"/>
            <wp:positionH relativeFrom="column">
              <wp:posOffset>5029200</wp:posOffset>
            </wp:positionH>
            <wp:positionV relativeFrom="paragraph">
              <wp:posOffset>-342900</wp:posOffset>
            </wp:positionV>
            <wp:extent cx="972185" cy="1028700"/>
            <wp:effectExtent l="0" t="0" r="0" b="0"/>
            <wp:wrapNone/>
            <wp:docPr id="21" name="Picture 7" descr="dep e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 env logo"/>
                    <pic:cNvPicPr>
                      <a:picLocks noChangeAspect="1" noChangeArrowheads="1"/>
                    </pic:cNvPicPr>
                  </pic:nvPicPr>
                  <pic:blipFill>
                    <a:blip r:embed="rId7" cstate="print"/>
                    <a:srcRect/>
                    <a:stretch>
                      <a:fillRect/>
                    </a:stretch>
                  </pic:blipFill>
                  <pic:spPr bwMode="auto">
                    <a:xfrm>
                      <a:off x="0" y="0"/>
                      <a:ext cx="972185" cy="1028700"/>
                    </a:xfrm>
                    <a:prstGeom prst="rect">
                      <a:avLst/>
                    </a:prstGeom>
                    <a:noFill/>
                    <a:ln w="9525">
                      <a:noFill/>
                      <a:miter lim="800000"/>
                      <a:headEnd/>
                      <a:tailEnd/>
                    </a:ln>
                  </pic:spPr>
                </pic:pic>
              </a:graphicData>
            </a:graphic>
          </wp:anchor>
        </w:drawing>
      </w:r>
      <w:r w:rsidRPr="00D43AC0">
        <w:rPr>
          <w:b/>
          <w:noProof/>
          <w:sz w:val="32"/>
          <w:szCs w:val="32"/>
          <w:lang w:eastAsia="el-GR"/>
        </w:rPr>
        <w:drawing>
          <wp:anchor distT="0" distB="0" distL="114300" distR="114300" simplePos="0" relativeHeight="251661312" behindDoc="0" locked="0" layoutInCell="1" allowOverlap="1">
            <wp:simplePos x="0" y="0"/>
            <wp:positionH relativeFrom="column">
              <wp:posOffset>-800100</wp:posOffset>
            </wp:positionH>
            <wp:positionV relativeFrom="paragraph">
              <wp:posOffset>-228600</wp:posOffset>
            </wp:positionV>
            <wp:extent cx="1028700" cy="884555"/>
            <wp:effectExtent l="19050" t="0" r="0" b="0"/>
            <wp:wrapNone/>
            <wp:docPr id="20" name="Picture 8" descr="univ aege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v aegean logo"/>
                    <pic:cNvPicPr>
                      <a:picLocks noChangeAspect="1" noChangeArrowheads="1"/>
                    </pic:cNvPicPr>
                  </pic:nvPicPr>
                  <pic:blipFill>
                    <a:blip r:embed="rId8" cstate="print"/>
                    <a:srcRect/>
                    <a:stretch>
                      <a:fillRect/>
                    </a:stretch>
                  </pic:blipFill>
                  <pic:spPr bwMode="auto">
                    <a:xfrm>
                      <a:off x="0" y="0"/>
                      <a:ext cx="1028700" cy="884555"/>
                    </a:xfrm>
                    <a:prstGeom prst="rect">
                      <a:avLst/>
                    </a:prstGeom>
                    <a:noFill/>
                    <a:ln w="9525">
                      <a:noFill/>
                      <a:miter lim="800000"/>
                      <a:headEnd/>
                      <a:tailEnd/>
                    </a:ln>
                  </pic:spPr>
                </pic:pic>
              </a:graphicData>
            </a:graphic>
          </wp:anchor>
        </w:drawing>
      </w:r>
      <w:r w:rsidRPr="00D43AC0">
        <w:rPr>
          <w:b/>
          <w:sz w:val="32"/>
          <w:szCs w:val="32"/>
        </w:rPr>
        <w:t>Πανεπιστήμιο Αιγαίου – Τμήμα Περιβάλλοντος</w:t>
      </w:r>
    </w:p>
    <w:p w:rsidR="005F7703" w:rsidRPr="00D43AC0" w:rsidRDefault="005F7703" w:rsidP="005F7703">
      <w:pPr>
        <w:jc w:val="center"/>
        <w:rPr>
          <w:b/>
          <w:sz w:val="32"/>
          <w:szCs w:val="32"/>
        </w:rPr>
      </w:pPr>
      <w:r w:rsidRPr="00D43AC0">
        <w:rPr>
          <w:b/>
          <w:sz w:val="32"/>
          <w:szCs w:val="32"/>
        </w:rPr>
        <w:t xml:space="preserve">Εργαστήριο Επιχειρησιακής Περιβαλλοντικής </w:t>
      </w:r>
    </w:p>
    <w:p w:rsidR="005F7703" w:rsidRPr="00D43AC0" w:rsidRDefault="005F7703" w:rsidP="005F7703">
      <w:pPr>
        <w:jc w:val="center"/>
        <w:rPr>
          <w:b/>
          <w:sz w:val="32"/>
          <w:szCs w:val="32"/>
        </w:rPr>
      </w:pPr>
      <w:r w:rsidRPr="00D43AC0">
        <w:rPr>
          <w:b/>
          <w:sz w:val="32"/>
          <w:szCs w:val="32"/>
        </w:rPr>
        <w:t>Πολιτικής και Διαχείρισης</w:t>
      </w:r>
    </w:p>
    <w:p w:rsidR="005F7703" w:rsidRPr="00D43AC0" w:rsidRDefault="005F7703" w:rsidP="005F7703">
      <w:pPr>
        <w:spacing w:line="360" w:lineRule="auto"/>
        <w:jc w:val="center"/>
        <w:rPr>
          <w:b/>
          <w:sz w:val="32"/>
          <w:szCs w:val="32"/>
        </w:rPr>
      </w:pPr>
    </w:p>
    <w:p w:rsidR="005F7703" w:rsidRPr="00D43AC0" w:rsidRDefault="005F7703" w:rsidP="005F7703">
      <w:pPr>
        <w:spacing w:line="360" w:lineRule="auto"/>
        <w:jc w:val="center"/>
        <w:rPr>
          <w:b/>
          <w:sz w:val="32"/>
          <w:szCs w:val="32"/>
        </w:rPr>
      </w:pPr>
    </w:p>
    <w:p w:rsidR="00C72815" w:rsidRPr="00D43AC0" w:rsidRDefault="00C72815" w:rsidP="005F7703">
      <w:pPr>
        <w:spacing w:line="360" w:lineRule="auto"/>
        <w:jc w:val="center"/>
        <w:rPr>
          <w:b/>
          <w:sz w:val="32"/>
          <w:szCs w:val="32"/>
        </w:rPr>
      </w:pPr>
    </w:p>
    <w:p w:rsidR="00C72815" w:rsidRPr="00D43AC0" w:rsidRDefault="00C72815" w:rsidP="005F7703">
      <w:pPr>
        <w:spacing w:line="360" w:lineRule="auto"/>
        <w:jc w:val="center"/>
        <w:rPr>
          <w:b/>
          <w:sz w:val="32"/>
          <w:szCs w:val="32"/>
        </w:rPr>
      </w:pPr>
    </w:p>
    <w:p w:rsidR="005F7703" w:rsidRPr="00D43AC0" w:rsidRDefault="005F7703" w:rsidP="005F7703">
      <w:pPr>
        <w:spacing w:line="360" w:lineRule="auto"/>
        <w:ind w:right="-1234" w:hanging="1080"/>
        <w:jc w:val="center"/>
        <w:rPr>
          <w:b/>
          <w:i/>
          <w:sz w:val="32"/>
          <w:szCs w:val="32"/>
        </w:rPr>
      </w:pPr>
      <w:r w:rsidRPr="00D43AC0">
        <w:rPr>
          <w:b/>
          <w:i/>
          <w:sz w:val="32"/>
          <w:szCs w:val="32"/>
        </w:rPr>
        <w:t>Αξιολόγηση απολογισμών εταιρικής υπευθυνότητας:</w:t>
      </w:r>
    </w:p>
    <w:p w:rsidR="005F7703" w:rsidRPr="00D43AC0" w:rsidRDefault="005F7703" w:rsidP="005F7703">
      <w:pPr>
        <w:spacing w:line="480" w:lineRule="auto"/>
        <w:jc w:val="center"/>
        <w:rPr>
          <w:sz w:val="32"/>
          <w:szCs w:val="32"/>
          <w:lang w:val="en-US"/>
        </w:rPr>
      </w:pPr>
      <w:r w:rsidRPr="00D43AC0">
        <w:rPr>
          <w:b/>
          <w:i/>
          <w:sz w:val="32"/>
          <w:szCs w:val="32"/>
        </w:rPr>
        <w:t>Αποτελέσματα έρευνας 201</w:t>
      </w:r>
      <w:r w:rsidRPr="00D43AC0">
        <w:rPr>
          <w:b/>
          <w:i/>
          <w:sz w:val="32"/>
          <w:szCs w:val="32"/>
          <w:lang w:val="en-US"/>
        </w:rPr>
        <w:t>4</w:t>
      </w:r>
    </w:p>
    <w:p w:rsidR="005F7703" w:rsidRPr="00D43AC0" w:rsidRDefault="005F7703" w:rsidP="00831A01">
      <w:pPr>
        <w:spacing w:line="480" w:lineRule="auto"/>
        <w:rPr>
          <w:sz w:val="32"/>
          <w:szCs w:val="32"/>
          <w:lang w:val="en-US"/>
        </w:rPr>
      </w:pPr>
    </w:p>
    <w:p w:rsidR="005F7703" w:rsidRPr="00D43AC0" w:rsidRDefault="005F7703" w:rsidP="00831A01">
      <w:pPr>
        <w:spacing w:line="480" w:lineRule="auto"/>
        <w:rPr>
          <w:sz w:val="32"/>
          <w:szCs w:val="32"/>
          <w:lang w:val="en-US"/>
        </w:rPr>
      </w:pPr>
    </w:p>
    <w:p w:rsidR="005F7703" w:rsidRPr="00D43AC0" w:rsidRDefault="005F7703" w:rsidP="00831A01">
      <w:pPr>
        <w:spacing w:line="480" w:lineRule="auto"/>
        <w:rPr>
          <w:sz w:val="32"/>
          <w:szCs w:val="32"/>
        </w:rPr>
      </w:pPr>
    </w:p>
    <w:p w:rsidR="00E72702" w:rsidRPr="00D43AC0" w:rsidRDefault="00E72702" w:rsidP="00831A01">
      <w:pPr>
        <w:spacing w:line="480" w:lineRule="auto"/>
        <w:rPr>
          <w:sz w:val="32"/>
          <w:szCs w:val="32"/>
        </w:rPr>
      </w:pPr>
    </w:p>
    <w:p w:rsidR="00E72702" w:rsidRPr="00D43AC0" w:rsidRDefault="00E72702" w:rsidP="00831A01">
      <w:pPr>
        <w:spacing w:line="480" w:lineRule="auto"/>
        <w:rPr>
          <w:sz w:val="32"/>
          <w:szCs w:val="32"/>
        </w:rPr>
      </w:pPr>
    </w:p>
    <w:p w:rsidR="005F7703" w:rsidRPr="00D43AC0" w:rsidRDefault="005F7703" w:rsidP="00831A01">
      <w:pPr>
        <w:spacing w:line="480" w:lineRule="auto"/>
        <w:rPr>
          <w:sz w:val="32"/>
          <w:szCs w:val="32"/>
          <w:lang w:val="en-US"/>
        </w:rPr>
      </w:pPr>
    </w:p>
    <w:p w:rsidR="005F7703" w:rsidRPr="00D43AC0" w:rsidRDefault="005F7703" w:rsidP="005F7703">
      <w:pPr>
        <w:jc w:val="center"/>
        <w:rPr>
          <w:b/>
          <w:i/>
          <w:sz w:val="32"/>
          <w:szCs w:val="32"/>
        </w:rPr>
      </w:pPr>
      <w:r w:rsidRPr="00D43AC0">
        <w:rPr>
          <w:b/>
          <w:i/>
          <w:sz w:val="32"/>
          <w:szCs w:val="32"/>
        </w:rPr>
        <w:t>Ιούνιος 2015</w:t>
      </w:r>
    </w:p>
    <w:p w:rsidR="005F7703" w:rsidRPr="00D43AC0" w:rsidRDefault="005F7703" w:rsidP="00831A01">
      <w:pPr>
        <w:spacing w:line="480" w:lineRule="auto"/>
        <w:rPr>
          <w:sz w:val="28"/>
          <w:szCs w:val="28"/>
        </w:rPr>
      </w:pPr>
    </w:p>
    <w:p w:rsidR="005F7703" w:rsidRDefault="005F7703" w:rsidP="005F7703">
      <w:pPr>
        <w:jc w:val="both"/>
        <w:rPr>
          <w:b/>
          <w:sz w:val="32"/>
          <w:szCs w:val="32"/>
          <w:u w:val="single"/>
        </w:rPr>
      </w:pPr>
      <w:r w:rsidRPr="00D43AC0">
        <w:rPr>
          <w:b/>
          <w:sz w:val="32"/>
          <w:szCs w:val="32"/>
          <w:u w:val="single"/>
        </w:rPr>
        <w:lastRenderedPageBreak/>
        <w:t>Περιεχόμενα</w:t>
      </w:r>
    </w:p>
    <w:p w:rsidR="00D43AC0" w:rsidRPr="00D43AC0" w:rsidRDefault="00D43AC0" w:rsidP="005F7703">
      <w:pPr>
        <w:jc w:val="both"/>
        <w:rPr>
          <w:b/>
          <w:sz w:val="32"/>
          <w:szCs w:val="32"/>
          <w:u w:val="single"/>
        </w:rPr>
      </w:pPr>
    </w:p>
    <w:tbl>
      <w:tblPr>
        <w:tblStyle w:val="a7"/>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901"/>
      </w:tblGrid>
      <w:tr w:rsidR="00307402" w:rsidRPr="00D43AC0" w:rsidTr="00D43AC0">
        <w:tc>
          <w:tcPr>
            <w:tcW w:w="7621" w:type="dxa"/>
          </w:tcPr>
          <w:p w:rsidR="00307402" w:rsidRPr="00D43AC0" w:rsidRDefault="00307402" w:rsidP="00307402">
            <w:pPr>
              <w:spacing w:line="360" w:lineRule="auto"/>
              <w:jc w:val="both"/>
              <w:rPr>
                <w:b/>
                <w:sz w:val="24"/>
                <w:szCs w:val="24"/>
              </w:rPr>
            </w:pPr>
            <w:r w:rsidRPr="00D43AC0">
              <w:rPr>
                <w:b/>
                <w:sz w:val="24"/>
                <w:szCs w:val="24"/>
              </w:rPr>
              <w:t>Εισαγωγή</w:t>
            </w:r>
          </w:p>
        </w:tc>
        <w:tc>
          <w:tcPr>
            <w:tcW w:w="901" w:type="dxa"/>
            <w:vAlign w:val="center"/>
          </w:tcPr>
          <w:p w:rsidR="00AA554F" w:rsidRPr="00D43AC0" w:rsidRDefault="00AA554F" w:rsidP="00D43AC0">
            <w:pPr>
              <w:spacing w:line="360" w:lineRule="auto"/>
              <w:jc w:val="right"/>
              <w:rPr>
                <w:b/>
                <w:sz w:val="24"/>
                <w:szCs w:val="24"/>
                <w:lang w:val="en-US"/>
              </w:rPr>
            </w:pPr>
            <w:r w:rsidRPr="00D43AC0">
              <w:rPr>
                <w:b/>
                <w:sz w:val="24"/>
                <w:szCs w:val="24"/>
                <w:lang w:val="en-US"/>
              </w:rPr>
              <w:t>2</w:t>
            </w:r>
          </w:p>
        </w:tc>
      </w:tr>
      <w:tr w:rsidR="00307402" w:rsidRPr="00D43AC0" w:rsidTr="00D43AC0">
        <w:tc>
          <w:tcPr>
            <w:tcW w:w="7621" w:type="dxa"/>
          </w:tcPr>
          <w:p w:rsidR="00307402" w:rsidRPr="00D43AC0" w:rsidRDefault="00307402" w:rsidP="00307402">
            <w:pPr>
              <w:spacing w:line="360" w:lineRule="auto"/>
              <w:jc w:val="both"/>
              <w:rPr>
                <w:b/>
                <w:sz w:val="24"/>
                <w:szCs w:val="24"/>
              </w:rPr>
            </w:pPr>
            <w:r w:rsidRPr="00D43AC0">
              <w:rPr>
                <w:b/>
                <w:sz w:val="24"/>
                <w:szCs w:val="24"/>
              </w:rPr>
              <w:t>Απολογισμοί ΕΚΕ: Η διεθνής εμπειρία και η περίπτωση της Ελλάδας</w:t>
            </w:r>
          </w:p>
        </w:tc>
        <w:tc>
          <w:tcPr>
            <w:tcW w:w="901" w:type="dxa"/>
            <w:vAlign w:val="center"/>
          </w:tcPr>
          <w:p w:rsidR="00307402" w:rsidRPr="00D43AC0" w:rsidRDefault="00AA554F" w:rsidP="00D43AC0">
            <w:pPr>
              <w:spacing w:line="360" w:lineRule="auto"/>
              <w:jc w:val="right"/>
              <w:rPr>
                <w:b/>
                <w:sz w:val="24"/>
                <w:szCs w:val="24"/>
                <w:lang w:val="en-US"/>
              </w:rPr>
            </w:pPr>
            <w:r w:rsidRPr="00D43AC0">
              <w:rPr>
                <w:b/>
                <w:sz w:val="24"/>
                <w:szCs w:val="24"/>
                <w:lang w:val="en-US"/>
              </w:rPr>
              <w:t>4</w:t>
            </w:r>
          </w:p>
        </w:tc>
      </w:tr>
      <w:tr w:rsidR="00AA554F" w:rsidRPr="00D43AC0" w:rsidTr="00D43AC0">
        <w:tc>
          <w:tcPr>
            <w:tcW w:w="7621" w:type="dxa"/>
          </w:tcPr>
          <w:p w:rsidR="00AA554F" w:rsidRPr="00665D59" w:rsidRDefault="00AA554F" w:rsidP="00307402">
            <w:pPr>
              <w:spacing w:line="360" w:lineRule="auto"/>
              <w:jc w:val="both"/>
              <w:rPr>
                <w:b/>
                <w:sz w:val="24"/>
                <w:szCs w:val="24"/>
              </w:rPr>
            </w:pPr>
            <w:r w:rsidRPr="00D43AC0">
              <w:rPr>
                <w:b/>
                <w:sz w:val="24"/>
                <w:szCs w:val="24"/>
              </w:rPr>
              <w:t>Προκλήσεις στην κατάρτιση απολογισμών ΕΚΕ – Αναδυόμενες καλές πρακτικές</w:t>
            </w:r>
          </w:p>
        </w:tc>
        <w:tc>
          <w:tcPr>
            <w:tcW w:w="901" w:type="dxa"/>
            <w:vAlign w:val="center"/>
          </w:tcPr>
          <w:p w:rsidR="00AA554F" w:rsidRPr="00D43AC0" w:rsidRDefault="00AA554F" w:rsidP="00D43AC0">
            <w:pPr>
              <w:spacing w:line="360" w:lineRule="auto"/>
              <w:jc w:val="right"/>
              <w:rPr>
                <w:b/>
                <w:sz w:val="24"/>
                <w:szCs w:val="24"/>
                <w:lang w:val="en-US"/>
              </w:rPr>
            </w:pPr>
            <w:r w:rsidRPr="00D43AC0">
              <w:rPr>
                <w:b/>
                <w:sz w:val="24"/>
                <w:szCs w:val="24"/>
                <w:lang w:val="en-US"/>
              </w:rPr>
              <w:t>8</w:t>
            </w:r>
          </w:p>
        </w:tc>
      </w:tr>
      <w:tr w:rsidR="00D43AC0" w:rsidRPr="00D43AC0" w:rsidTr="00D43AC0">
        <w:tc>
          <w:tcPr>
            <w:tcW w:w="7621" w:type="dxa"/>
          </w:tcPr>
          <w:p w:rsidR="00D43AC0" w:rsidRPr="00D43AC0" w:rsidRDefault="00D43AC0" w:rsidP="00307402">
            <w:pPr>
              <w:spacing w:line="360" w:lineRule="auto"/>
              <w:jc w:val="both"/>
              <w:rPr>
                <w:b/>
                <w:sz w:val="24"/>
                <w:szCs w:val="24"/>
              </w:rPr>
            </w:pPr>
            <w:r w:rsidRPr="00D43AC0">
              <w:rPr>
                <w:b/>
                <w:sz w:val="24"/>
                <w:szCs w:val="24"/>
              </w:rPr>
              <w:t>Πρωτοβουλίες στον ελληνικό ιδιωτικό τομέα &amp; υιοθέτηση διεθνών αρχών, πρακτικών και προτύπων</w:t>
            </w:r>
          </w:p>
        </w:tc>
        <w:tc>
          <w:tcPr>
            <w:tcW w:w="901" w:type="dxa"/>
            <w:vAlign w:val="center"/>
          </w:tcPr>
          <w:p w:rsidR="00D43AC0" w:rsidRPr="00D43AC0" w:rsidRDefault="00D43AC0" w:rsidP="00D43AC0">
            <w:pPr>
              <w:spacing w:line="360" w:lineRule="auto"/>
              <w:jc w:val="right"/>
              <w:rPr>
                <w:b/>
                <w:sz w:val="24"/>
                <w:szCs w:val="24"/>
              </w:rPr>
            </w:pPr>
            <w:r w:rsidRPr="00D43AC0">
              <w:rPr>
                <w:b/>
                <w:sz w:val="24"/>
                <w:szCs w:val="24"/>
              </w:rPr>
              <w:t>1</w:t>
            </w:r>
            <w:r>
              <w:rPr>
                <w:b/>
                <w:sz w:val="24"/>
                <w:szCs w:val="24"/>
              </w:rPr>
              <w:t>2</w:t>
            </w:r>
          </w:p>
        </w:tc>
      </w:tr>
      <w:tr w:rsidR="00D43AC0" w:rsidRPr="00D43AC0" w:rsidTr="00D43AC0">
        <w:tc>
          <w:tcPr>
            <w:tcW w:w="7621" w:type="dxa"/>
          </w:tcPr>
          <w:p w:rsidR="00D43AC0" w:rsidRPr="00D43AC0" w:rsidRDefault="00D43AC0" w:rsidP="00D43AC0">
            <w:pPr>
              <w:tabs>
                <w:tab w:val="left" w:pos="5540"/>
              </w:tabs>
              <w:spacing w:line="360" w:lineRule="auto"/>
              <w:jc w:val="both"/>
              <w:rPr>
                <w:b/>
                <w:sz w:val="24"/>
                <w:szCs w:val="24"/>
              </w:rPr>
            </w:pPr>
            <w:r w:rsidRPr="00D43AC0">
              <w:rPr>
                <w:b/>
                <w:sz w:val="24"/>
                <w:szCs w:val="24"/>
              </w:rPr>
              <w:t>Η κοινωνική υπευθυνότητα των επιχειρήσεων στην Ελλάδα με μια κριτική ματιά</w:t>
            </w:r>
          </w:p>
        </w:tc>
        <w:tc>
          <w:tcPr>
            <w:tcW w:w="901" w:type="dxa"/>
            <w:vAlign w:val="center"/>
          </w:tcPr>
          <w:p w:rsidR="00D43AC0" w:rsidRPr="00D43AC0" w:rsidRDefault="00D43AC0" w:rsidP="008B34EB">
            <w:pPr>
              <w:spacing w:line="360" w:lineRule="auto"/>
              <w:jc w:val="right"/>
              <w:rPr>
                <w:b/>
                <w:sz w:val="24"/>
                <w:szCs w:val="24"/>
              </w:rPr>
            </w:pPr>
            <w:r>
              <w:rPr>
                <w:b/>
                <w:sz w:val="24"/>
                <w:szCs w:val="24"/>
              </w:rPr>
              <w:t>1</w:t>
            </w:r>
            <w:r w:rsidR="008B34EB">
              <w:rPr>
                <w:b/>
                <w:sz w:val="24"/>
                <w:szCs w:val="24"/>
              </w:rPr>
              <w:t>7</w:t>
            </w:r>
          </w:p>
        </w:tc>
      </w:tr>
      <w:tr w:rsidR="00307402" w:rsidRPr="00D43AC0" w:rsidTr="00D43AC0">
        <w:tc>
          <w:tcPr>
            <w:tcW w:w="7621" w:type="dxa"/>
          </w:tcPr>
          <w:p w:rsidR="00307402" w:rsidRPr="00D43AC0" w:rsidRDefault="00307402" w:rsidP="00307402">
            <w:pPr>
              <w:spacing w:line="360" w:lineRule="auto"/>
              <w:jc w:val="both"/>
              <w:rPr>
                <w:b/>
                <w:sz w:val="24"/>
                <w:szCs w:val="24"/>
              </w:rPr>
            </w:pPr>
            <w:r w:rsidRPr="00D43AC0">
              <w:rPr>
                <w:rFonts w:cs="Arial"/>
                <w:b/>
                <w:sz w:val="24"/>
                <w:szCs w:val="24"/>
              </w:rPr>
              <w:t>Μεθοδολογία αξιολόγησης εκθέσεων ΕΚΕ</w:t>
            </w:r>
          </w:p>
        </w:tc>
        <w:tc>
          <w:tcPr>
            <w:tcW w:w="901" w:type="dxa"/>
            <w:vAlign w:val="center"/>
          </w:tcPr>
          <w:p w:rsidR="00307402" w:rsidRPr="00D43AC0" w:rsidRDefault="00D43AC0" w:rsidP="00D43AC0">
            <w:pPr>
              <w:spacing w:line="360" w:lineRule="auto"/>
              <w:jc w:val="right"/>
              <w:rPr>
                <w:b/>
                <w:sz w:val="24"/>
                <w:szCs w:val="24"/>
              </w:rPr>
            </w:pPr>
            <w:r>
              <w:rPr>
                <w:b/>
                <w:sz w:val="24"/>
                <w:szCs w:val="24"/>
              </w:rPr>
              <w:t>20</w:t>
            </w:r>
          </w:p>
        </w:tc>
      </w:tr>
      <w:tr w:rsidR="00307402" w:rsidRPr="00D43AC0" w:rsidTr="00D43AC0">
        <w:tc>
          <w:tcPr>
            <w:tcW w:w="7621" w:type="dxa"/>
          </w:tcPr>
          <w:p w:rsidR="00307402" w:rsidRPr="00D43AC0" w:rsidRDefault="00307402" w:rsidP="00307402">
            <w:pPr>
              <w:spacing w:line="360" w:lineRule="auto"/>
              <w:jc w:val="both"/>
              <w:rPr>
                <w:b/>
                <w:sz w:val="24"/>
                <w:szCs w:val="24"/>
              </w:rPr>
            </w:pPr>
            <w:r w:rsidRPr="00D43AC0">
              <w:rPr>
                <w:rFonts w:cs="Arial"/>
                <w:b/>
                <w:sz w:val="24"/>
                <w:szCs w:val="24"/>
              </w:rPr>
              <w:t>Συνολικά αποτελέσματα έρευνας 2014</w:t>
            </w:r>
            <w:r w:rsidR="00D43AC0">
              <w:rPr>
                <w:rFonts w:cs="Arial"/>
                <w:b/>
                <w:sz w:val="24"/>
                <w:szCs w:val="24"/>
              </w:rPr>
              <w:t>: Παρατηρήσεις &amp; σχόλια</w:t>
            </w:r>
          </w:p>
        </w:tc>
        <w:tc>
          <w:tcPr>
            <w:tcW w:w="901" w:type="dxa"/>
            <w:vAlign w:val="center"/>
          </w:tcPr>
          <w:p w:rsidR="00307402" w:rsidRPr="00D43AC0" w:rsidRDefault="00D43AC0" w:rsidP="00D43AC0">
            <w:pPr>
              <w:spacing w:line="360" w:lineRule="auto"/>
              <w:jc w:val="right"/>
              <w:rPr>
                <w:b/>
                <w:sz w:val="24"/>
                <w:szCs w:val="24"/>
              </w:rPr>
            </w:pPr>
            <w:r>
              <w:rPr>
                <w:b/>
                <w:sz w:val="24"/>
                <w:szCs w:val="24"/>
              </w:rPr>
              <w:t>27</w:t>
            </w:r>
          </w:p>
        </w:tc>
      </w:tr>
    </w:tbl>
    <w:p w:rsidR="005F7703" w:rsidRPr="00D43AC0" w:rsidRDefault="005F7703" w:rsidP="005F7703">
      <w:pPr>
        <w:jc w:val="both"/>
        <w:rPr>
          <w:b/>
          <w:sz w:val="24"/>
          <w:szCs w:val="24"/>
        </w:rPr>
      </w:pPr>
    </w:p>
    <w:p w:rsidR="005F7703" w:rsidRPr="00D43AC0" w:rsidRDefault="005F7703" w:rsidP="005F7703">
      <w:pPr>
        <w:spacing w:line="480" w:lineRule="auto"/>
        <w:jc w:val="center"/>
        <w:rPr>
          <w:sz w:val="24"/>
          <w:szCs w:val="24"/>
        </w:rPr>
      </w:pPr>
    </w:p>
    <w:p w:rsidR="005F7703" w:rsidRPr="00D43AC0" w:rsidRDefault="005F7703" w:rsidP="00831A01">
      <w:pPr>
        <w:spacing w:line="480" w:lineRule="auto"/>
        <w:rPr>
          <w:sz w:val="24"/>
          <w:szCs w:val="24"/>
        </w:rPr>
      </w:pPr>
    </w:p>
    <w:p w:rsidR="005F7703" w:rsidRPr="00D43AC0" w:rsidRDefault="005F7703" w:rsidP="00831A01">
      <w:pPr>
        <w:spacing w:line="480" w:lineRule="auto"/>
        <w:rPr>
          <w:sz w:val="24"/>
          <w:szCs w:val="24"/>
        </w:rPr>
      </w:pPr>
    </w:p>
    <w:p w:rsidR="005F7703" w:rsidRPr="00D43AC0" w:rsidRDefault="005F7703" w:rsidP="00831A01">
      <w:pPr>
        <w:spacing w:line="480" w:lineRule="auto"/>
        <w:rPr>
          <w:sz w:val="24"/>
          <w:szCs w:val="24"/>
        </w:rPr>
      </w:pPr>
    </w:p>
    <w:p w:rsidR="005F7703" w:rsidRPr="00D43AC0" w:rsidRDefault="005F7703" w:rsidP="00831A01">
      <w:pPr>
        <w:spacing w:line="480" w:lineRule="auto"/>
        <w:rPr>
          <w:sz w:val="24"/>
          <w:szCs w:val="24"/>
        </w:rPr>
      </w:pPr>
    </w:p>
    <w:p w:rsidR="00307402" w:rsidRPr="00D43AC0" w:rsidRDefault="00307402" w:rsidP="00831A01">
      <w:pPr>
        <w:spacing w:line="480" w:lineRule="auto"/>
        <w:rPr>
          <w:sz w:val="24"/>
          <w:szCs w:val="24"/>
        </w:rPr>
      </w:pPr>
    </w:p>
    <w:p w:rsidR="00307402" w:rsidRPr="00D43AC0" w:rsidRDefault="00307402" w:rsidP="00831A01">
      <w:pPr>
        <w:spacing w:line="480" w:lineRule="auto"/>
        <w:rPr>
          <w:sz w:val="24"/>
          <w:szCs w:val="24"/>
        </w:rPr>
      </w:pPr>
    </w:p>
    <w:p w:rsidR="00307402" w:rsidRPr="00D43AC0" w:rsidRDefault="00307402" w:rsidP="00831A01">
      <w:pPr>
        <w:spacing w:line="480" w:lineRule="auto"/>
        <w:rPr>
          <w:sz w:val="24"/>
          <w:szCs w:val="24"/>
        </w:rPr>
      </w:pPr>
    </w:p>
    <w:p w:rsidR="00307402" w:rsidRPr="00D43AC0" w:rsidRDefault="00307402" w:rsidP="00831A01">
      <w:pPr>
        <w:spacing w:line="480" w:lineRule="auto"/>
        <w:rPr>
          <w:sz w:val="24"/>
          <w:szCs w:val="24"/>
        </w:rPr>
      </w:pPr>
    </w:p>
    <w:p w:rsidR="005F7703" w:rsidRPr="00D43AC0" w:rsidRDefault="005F7703" w:rsidP="00831A01">
      <w:pPr>
        <w:spacing w:line="480" w:lineRule="auto"/>
        <w:rPr>
          <w:sz w:val="24"/>
          <w:szCs w:val="24"/>
        </w:rPr>
      </w:pPr>
    </w:p>
    <w:p w:rsidR="00C72815" w:rsidRPr="00D43AC0" w:rsidRDefault="00C72815" w:rsidP="0047330E">
      <w:pPr>
        <w:spacing w:line="360" w:lineRule="auto"/>
        <w:jc w:val="both"/>
        <w:rPr>
          <w:b/>
          <w:sz w:val="24"/>
          <w:szCs w:val="24"/>
        </w:rPr>
      </w:pPr>
      <w:r w:rsidRPr="00D43AC0">
        <w:rPr>
          <w:b/>
          <w:sz w:val="24"/>
          <w:szCs w:val="24"/>
        </w:rPr>
        <w:lastRenderedPageBreak/>
        <w:t xml:space="preserve">Εισαγωγή </w:t>
      </w:r>
    </w:p>
    <w:p w:rsidR="00C72815" w:rsidRPr="00D43AC0" w:rsidRDefault="00C72815" w:rsidP="0047330E">
      <w:pPr>
        <w:spacing w:line="360" w:lineRule="auto"/>
        <w:jc w:val="both"/>
        <w:rPr>
          <w:sz w:val="24"/>
          <w:szCs w:val="24"/>
        </w:rPr>
      </w:pPr>
      <w:r w:rsidRPr="00D43AC0">
        <w:rPr>
          <w:sz w:val="24"/>
          <w:szCs w:val="24"/>
        </w:rPr>
        <w:t>Τις τελευταίες δυο δεκαετίες το εννοιολογικό πλαίσιο της εταιρικής κοινωνικής ευθύνης (ΕΚΕ) έχει λάβει εξέχουσα σημασία στους κόλπους της ακαδημαϊκής κοινότητας, της επιχειρηματικής ατζέντας αλλά και το σχεδιασμό δημόσιας πολιτικής. Η έννοια της ΕΚΕ έχει ανανεώσει τη θεώρηση της επιχειρηματική</w:t>
      </w:r>
      <w:r w:rsidR="00D6331C">
        <w:rPr>
          <w:sz w:val="24"/>
          <w:szCs w:val="24"/>
        </w:rPr>
        <w:t>ς</w:t>
      </w:r>
      <w:r w:rsidRPr="00D43AC0">
        <w:rPr>
          <w:sz w:val="24"/>
          <w:szCs w:val="24"/>
        </w:rPr>
        <w:t xml:space="preserve"> συμπεριφοράς με άξονα τη διαρκή δέσμευση του οργανισμού να λειτουργεί κερδοφόρα </w:t>
      </w:r>
      <w:r w:rsidR="00D6331C">
        <w:rPr>
          <w:sz w:val="24"/>
          <w:szCs w:val="24"/>
        </w:rPr>
        <w:t xml:space="preserve">μεν </w:t>
      </w:r>
      <w:r w:rsidRPr="00D43AC0">
        <w:rPr>
          <w:sz w:val="24"/>
          <w:szCs w:val="24"/>
        </w:rPr>
        <w:t>στα πλαίσια της ηθικής</w:t>
      </w:r>
      <w:r w:rsidR="00D6331C">
        <w:rPr>
          <w:sz w:val="24"/>
          <w:szCs w:val="24"/>
        </w:rPr>
        <w:t xml:space="preserve"> δε</w:t>
      </w:r>
      <w:r w:rsidRPr="00D43AC0">
        <w:rPr>
          <w:sz w:val="24"/>
          <w:szCs w:val="24"/>
        </w:rPr>
        <w:t xml:space="preserve">, αποδίδοντας τόσο στην οικονομική μεγέθυνση όσο και </w:t>
      </w:r>
      <w:r w:rsidR="00D6331C">
        <w:rPr>
          <w:sz w:val="24"/>
          <w:szCs w:val="24"/>
        </w:rPr>
        <w:t>σ</w:t>
      </w:r>
      <w:r w:rsidRPr="00D43AC0">
        <w:rPr>
          <w:sz w:val="24"/>
          <w:szCs w:val="24"/>
        </w:rPr>
        <w:t>τη βελτίωση της ποιότητας ζωής του κοινωνικού συνόλου εντός του οποίου δραστηριοποιείται και αναπτύσσεται. Ταυτόχρονα με την ανάδειξη της ΕΚΕ, αναπτύχθηκαν και αντίστοιχες πρακτικές λογοδοσίας (</w:t>
      </w:r>
      <w:r w:rsidRPr="00D43AC0">
        <w:rPr>
          <w:sz w:val="24"/>
          <w:szCs w:val="24"/>
          <w:lang w:val="en-US"/>
        </w:rPr>
        <w:t>accountability</w:t>
      </w:r>
      <w:r w:rsidRPr="00D43AC0">
        <w:rPr>
          <w:sz w:val="24"/>
          <w:szCs w:val="24"/>
        </w:rPr>
        <w:t>) για τις (θετικές ή αρνητικές) επιπτώσεις που έχει η επιχειρηματική δραστηριότητα στο περιβάλλον και την κοινωνία. Αν και συναφείς δράσεις, στις περισσότερες χώρες που εφαρμόζονται, είναι κατά κύριο λόγο εθελοντικές, σε ορισμένα (ευρωπαϊκά και όχι μόνο) κράτη ανάλογες πρακτικές έχουν υποχρεωτικό χαρακτήρα - κυρίως με στόχο τα ενδιαφερόμενα μέρη του οργανισμού (και προπαντός οι επενδυτές) να έχουν μια κατά το δυνατόν πιο ολοκληρωμένη εικόνα της επίδοσης των οργανισμών.</w:t>
      </w:r>
    </w:p>
    <w:p w:rsidR="00020759" w:rsidRPr="00D43AC0" w:rsidRDefault="00020759" w:rsidP="00020759">
      <w:pPr>
        <w:spacing w:line="360" w:lineRule="auto"/>
        <w:jc w:val="both"/>
        <w:rPr>
          <w:sz w:val="24"/>
          <w:szCs w:val="24"/>
        </w:rPr>
      </w:pPr>
      <w:r w:rsidRPr="00D43AC0">
        <w:rPr>
          <w:sz w:val="24"/>
          <w:szCs w:val="24"/>
        </w:rPr>
        <w:t xml:space="preserve">Τόσο σε εθνικό όσο και σε διεθνές επίπεδο, οικονομικά σκάνδαλα (όπως της Lehman Brothers), περιβαλλοντικές καταστροφές (βλ. Ασωπός ποταμός) και φαινόμενα διαφθοράς (πρόσφατα παραδείγματα αυτά της Siemens και της Daimler) αναδεικνύουν την αναγκαιότητα της λογοδοσίας των δημόσιων και ιδιωτικών επιχειρηματικών οργανισμών με στόχο την προαγωγή της διαφάνειας και υποστήριξης της διαβούλευσης με το ευρύτερο κοινωνικό σύνολο. Παράλληλα με την πρακτική της υποχρεωτικής έκδοσης των ετήσιων οικονομικών απολογισμών επιχειρήσεις ανά τον κόσμο επιλέγουν να δημοσιεύσουν, σε εθελοντική βάση, εκθέσεις όπου καταγράφουν τα περιβαλλοντικά και κοινωνικά αποτελέσματα της επίδοσής τους ανά έτος χρήσης. Σύμφωνα μάλιστα με έρευνα που πραγματοποιεί ανά τριετία η KPMG, το ποσοστό των 250 μεγαλύτερων εταιρειών παγκοσμίως (G250) που δημοσιεύουν τέτοια έκθεση αυξήθηκε από 35% το 1999 σε 93% το 2013. Ομοίως, το ποσοστό στις 100 μεγαλύτερες εταιρείες επιλεγμένων χωρών (N100) </w:t>
      </w:r>
      <w:r w:rsidRPr="00D43AC0">
        <w:rPr>
          <w:sz w:val="24"/>
          <w:szCs w:val="24"/>
        </w:rPr>
        <w:lastRenderedPageBreak/>
        <w:t>που περιλαμβάνονται στην έρευνα σχεδόν υπερδιπλασιάστηκε μέσα στην ίδια περίοδο (Σχήμα 1).</w:t>
      </w:r>
    </w:p>
    <w:p w:rsidR="00020759" w:rsidRDefault="00020759" w:rsidP="00020759">
      <w:pPr>
        <w:spacing w:line="360" w:lineRule="auto"/>
        <w:jc w:val="both"/>
        <w:rPr>
          <w:sz w:val="24"/>
          <w:szCs w:val="24"/>
          <w:lang w:val="en-US"/>
        </w:rPr>
      </w:pPr>
      <w:r w:rsidRPr="00D43AC0">
        <w:rPr>
          <w:noProof/>
          <w:sz w:val="24"/>
          <w:szCs w:val="24"/>
          <w:lang w:eastAsia="el-GR"/>
        </w:rPr>
        <w:drawing>
          <wp:inline distT="0" distB="0" distL="0" distR="0">
            <wp:extent cx="5274310" cy="3552223"/>
            <wp:effectExtent l="19050" t="0" r="21590" b="0"/>
            <wp:docPr id="3"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35F9" w:rsidRPr="006335F9" w:rsidRDefault="006335F9" w:rsidP="006335F9">
      <w:pPr>
        <w:spacing w:line="360" w:lineRule="auto"/>
        <w:ind w:left="851" w:hanging="851"/>
        <w:jc w:val="both"/>
      </w:pPr>
      <w:r w:rsidRPr="006335F9">
        <w:t>Σχήμα 1: Η διαχρονική αύξηση των μη-χρηματοοικονομικών απολογισμών σύμφωνα με την</w:t>
      </w:r>
      <w:r>
        <w:t xml:space="preserve"> </w:t>
      </w:r>
      <w:r w:rsidRPr="006335F9">
        <w:t xml:space="preserve">έρευνα της </w:t>
      </w:r>
      <w:r w:rsidRPr="006335F9">
        <w:rPr>
          <w:lang w:val="en-US"/>
        </w:rPr>
        <w:t>KPMG</w:t>
      </w:r>
      <w:r w:rsidRPr="006335F9">
        <w:t xml:space="preserve"> (2013)</w:t>
      </w:r>
    </w:p>
    <w:p w:rsidR="00020759" w:rsidRPr="006335F9" w:rsidRDefault="006335F9" w:rsidP="006335F9">
      <w:pPr>
        <w:spacing w:line="360" w:lineRule="auto"/>
        <w:ind w:left="993" w:hanging="993"/>
        <w:jc w:val="both"/>
      </w:pPr>
      <w:r w:rsidRPr="006335F9">
        <w:t xml:space="preserve">Σημείωση: </w:t>
      </w:r>
      <w:r w:rsidR="00020759" w:rsidRPr="006335F9">
        <w:rPr>
          <w:rFonts w:cs="Arial"/>
        </w:rPr>
        <w:t>Η διαχρονική αύξηση των εταιρειών που δημοσιεύουν έκθεση ΕΚΕ</w:t>
      </w:r>
      <w:r w:rsidR="008B34EB" w:rsidRPr="006335F9">
        <w:rPr>
          <w:rFonts w:cs="Arial"/>
        </w:rPr>
        <w:t xml:space="preserve"> (</w:t>
      </w:r>
      <w:r w:rsidR="00020759" w:rsidRPr="006335F9">
        <w:rPr>
          <w:rFonts w:cs="Arial"/>
          <w:lang w:val="en-US"/>
        </w:rPr>
        <w:t>G</w:t>
      </w:r>
      <w:r w:rsidR="008B34EB" w:rsidRPr="006335F9">
        <w:rPr>
          <w:rFonts w:cs="Arial"/>
        </w:rPr>
        <w:t>250:</w:t>
      </w:r>
      <w:r w:rsidR="00020759" w:rsidRPr="006335F9">
        <w:rPr>
          <w:rFonts w:cs="Arial"/>
        </w:rPr>
        <w:t xml:space="preserve"> </w:t>
      </w:r>
      <w:r w:rsidR="00020759" w:rsidRPr="006335F9">
        <w:rPr>
          <w:rFonts w:cs="Arial"/>
          <w:lang w:val="en-US"/>
        </w:rPr>
        <w:t>o</w:t>
      </w:r>
      <w:r w:rsidR="00020759" w:rsidRPr="006335F9">
        <w:rPr>
          <w:rFonts w:cs="Arial"/>
        </w:rPr>
        <w:t xml:space="preserve">ι 250 μεγαλύτερες πολυεθνικές εταιρείες σύμφωνα με το περιοδικό </w:t>
      </w:r>
      <w:r w:rsidR="00020759" w:rsidRPr="006335F9">
        <w:rPr>
          <w:rFonts w:cs="Arial"/>
          <w:lang w:val="en-US"/>
        </w:rPr>
        <w:t>Fortune</w:t>
      </w:r>
      <w:r w:rsidR="00020759" w:rsidRPr="006335F9">
        <w:rPr>
          <w:rFonts w:cs="Arial"/>
        </w:rPr>
        <w:t xml:space="preserve">, </w:t>
      </w:r>
      <w:r w:rsidR="00020759" w:rsidRPr="006335F9">
        <w:rPr>
          <w:rFonts w:cs="Arial"/>
          <w:lang w:val="en-US"/>
        </w:rPr>
        <w:t>N</w:t>
      </w:r>
      <w:r w:rsidR="008B34EB" w:rsidRPr="006335F9">
        <w:rPr>
          <w:rFonts w:cs="Arial"/>
        </w:rPr>
        <w:t>100:</w:t>
      </w:r>
      <w:r w:rsidR="00020759" w:rsidRPr="006335F9">
        <w:rPr>
          <w:rFonts w:cs="Arial"/>
        </w:rPr>
        <w:t xml:space="preserve"> οι 100 μεγαλύτερες επιχειρήσεις βάσει κύκλου</w:t>
      </w:r>
      <w:r w:rsidR="008B34EB" w:rsidRPr="006335F9">
        <w:rPr>
          <w:rFonts w:cs="Arial"/>
        </w:rPr>
        <w:t xml:space="preserve"> εργασιών από επιλεγμένες χώρες)</w:t>
      </w:r>
    </w:p>
    <w:p w:rsidR="00020759" w:rsidRPr="00D43AC0" w:rsidRDefault="00020759" w:rsidP="00020759">
      <w:pPr>
        <w:spacing w:line="360" w:lineRule="auto"/>
        <w:jc w:val="both"/>
        <w:rPr>
          <w:sz w:val="24"/>
          <w:szCs w:val="24"/>
        </w:rPr>
      </w:pPr>
    </w:p>
    <w:p w:rsidR="00A354B3" w:rsidRPr="00D43AC0" w:rsidRDefault="00A354B3" w:rsidP="0047330E">
      <w:pPr>
        <w:spacing w:line="360" w:lineRule="auto"/>
        <w:jc w:val="both"/>
        <w:rPr>
          <w:b/>
          <w:sz w:val="24"/>
          <w:szCs w:val="24"/>
        </w:rPr>
      </w:pPr>
    </w:p>
    <w:p w:rsidR="00A354B3" w:rsidRPr="00D43AC0" w:rsidRDefault="00A354B3" w:rsidP="0047330E">
      <w:pPr>
        <w:spacing w:line="360" w:lineRule="auto"/>
        <w:jc w:val="both"/>
        <w:rPr>
          <w:b/>
          <w:sz w:val="24"/>
          <w:szCs w:val="24"/>
        </w:rPr>
      </w:pPr>
    </w:p>
    <w:p w:rsidR="00A354B3" w:rsidRPr="00D43AC0" w:rsidRDefault="00A354B3" w:rsidP="0047330E">
      <w:pPr>
        <w:spacing w:line="360" w:lineRule="auto"/>
        <w:jc w:val="both"/>
        <w:rPr>
          <w:b/>
          <w:sz w:val="24"/>
          <w:szCs w:val="24"/>
        </w:rPr>
      </w:pPr>
    </w:p>
    <w:p w:rsidR="00A354B3" w:rsidRPr="00D43AC0" w:rsidRDefault="00A354B3" w:rsidP="0047330E">
      <w:pPr>
        <w:spacing w:line="360" w:lineRule="auto"/>
        <w:jc w:val="both"/>
        <w:rPr>
          <w:b/>
          <w:sz w:val="24"/>
          <w:szCs w:val="24"/>
        </w:rPr>
      </w:pPr>
    </w:p>
    <w:p w:rsidR="00A354B3" w:rsidRPr="00D43AC0" w:rsidRDefault="00A354B3" w:rsidP="0047330E">
      <w:pPr>
        <w:spacing w:line="360" w:lineRule="auto"/>
        <w:jc w:val="both"/>
        <w:rPr>
          <w:b/>
          <w:sz w:val="24"/>
          <w:szCs w:val="24"/>
        </w:rPr>
      </w:pPr>
    </w:p>
    <w:p w:rsidR="00A354B3" w:rsidRDefault="00A354B3" w:rsidP="0047330E">
      <w:pPr>
        <w:spacing w:line="360" w:lineRule="auto"/>
        <w:jc w:val="both"/>
        <w:rPr>
          <w:b/>
          <w:sz w:val="24"/>
          <w:szCs w:val="24"/>
        </w:rPr>
      </w:pPr>
    </w:p>
    <w:p w:rsidR="00C72815" w:rsidRPr="00D43AC0" w:rsidRDefault="00C72815" w:rsidP="0047330E">
      <w:pPr>
        <w:spacing w:line="360" w:lineRule="auto"/>
        <w:jc w:val="both"/>
        <w:rPr>
          <w:sz w:val="24"/>
          <w:szCs w:val="24"/>
        </w:rPr>
      </w:pPr>
      <w:r w:rsidRPr="00D43AC0">
        <w:rPr>
          <w:b/>
          <w:sz w:val="24"/>
          <w:szCs w:val="24"/>
        </w:rPr>
        <w:lastRenderedPageBreak/>
        <w:t>Απολογισμοί ΕΚΕ: Η διεθνής εμπειρία και η περίπτωση της Ελλάδας</w:t>
      </w:r>
      <w:r w:rsidRPr="00D43AC0">
        <w:rPr>
          <w:sz w:val="24"/>
          <w:szCs w:val="24"/>
        </w:rPr>
        <w:t xml:space="preserve"> </w:t>
      </w:r>
    </w:p>
    <w:p w:rsidR="009C15E8" w:rsidRPr="00D43AC0" w:rsidRDefault="009C15E8" w:rsidP="0047330E">
      <w:pPr>
        <w:spacing w:line="360" w:lineRule="auto"/>
        <w:jc w:val="both"/>
        <w:rPr>
          <w:sz w:val="24"/>
          <w:szCs w:val="24"/>
        </w:rPr>
      </w:pPr>
      <w:r w:rsidRPr="00D43AC0">
        <w:rPr>
          <w:sz w:val="24"/>
          <w:szCs w:val="24"/>
        </w:rPr>
        <w:t>Η έκθεση ΕΚΕ έχει χαρακτηριστεί ως η νέα ‘επαγγελματική κάρτα’ (</w:t>
      </w:r>
      <w:r w:rsidRPr="00D43AC0">
        <w:rPr>
          <w:sz w:val="24"/>
          <w:szCs w:val="24"/>
          <w:lang w:val="en-US"/>
        </w:rPr>
        <w:t>business</w:t>
      </w:r>
      <w:r w:rsidRPr="00D43AC0">
        <w:rPr>
          <w:sz w:val="24"/>
          <w:szCs w:val="24"/>
        </w:rPr>
        <w:t xml:space="preserve"> </w:t>
      </w:r>
      <w:r w:rsidRPr="00D43AC0">
        <w:rPr>
          <w:sz w:val="24"/>
          <w:szCs w:val="24"/>
          <w:lang w:val="en-US"/>
        </w:rPr>
        <w:t>card</w:t>
      </w:r>
      <w:r w:rsidRPr="00D43AC0">
        <w:rPr>
          <w:sz w:val="24"/>
          <w:szCs w:val="24"/>
        </w:rPr>
        <w:t xml:space="preserve">) της επιχείρησης. Αποτελεί μια μορφή απολογισμού που απευθύνεται στο σύνολο των κοινωνικών εταίρων του επιχειρηματικού οργανισμού με δυνητικό στόχο την ενημέρωση τους για την πολιτική, τα προγράμματα και δράσεις και τους μελλοντικούς στόχους του με άξονα την προαγωγή της κοινωνικά υπεύθυνης λειτουργίας. Σε αντίθεση με τον τακτικό, χρηματοοικονομικό απολογισμό που απευθύνεται στους μετόχους του οργανισμού, η έκθεση ΕΚΕ αντικατοπτρίζει την εθελοντική πρωτοβουλία της επιχείρησης να πληροφορήσει το ευρύτερο κοινωνικό σύνολο για τις επιπτώσεις (θετικές </w:t>
      </w:r>
      <w:r w:rsidRPr="00D43AC0">
        <w:rPr>
          <w:i/>
          <w:sz w:val="24"/>
          <w:szCs w:val="24"/>
        </w:rPr>
        <w:t>και</w:t>
      </w:r>
      <w:r w:rsidRPr="00D43AC0">
        <w:rPr>
          <w:sz w:val="24"/>
          <w:szCs w:val="24"/>
        </w:rPr>
        <w:t xml:space="preserve"> αρνητικές) της παραγωγικής της δραστηριότητας, σύμφωνα και με τη σύγχρονη θεώρηση των αρχών της διαφάνειας και λογοδοσίας. </w:t>
      </w:r>
    </w:p>
    <w:p w:rsidR="00E72702" w:rsidRPr="00D43AC0" w:rsidRDefault="00E72702" w:rsidP="0047330E">
      <w:pPr>
        <w:tabs>
          <w:tab w:val="left" w:pos="2010"/>
        </w:tabs>
        <w:spacing w:line="360" w:lineRule="auto"/>
        <w:jc w:val="both"/>
        <w:rPr>
          <w:sz w:val="24"/>
          <w:szCs w:val="24"/>
        </w:rPr>
      </w:pPr>
      <w:r w:rsidRPr="00D43AC0">
        <w:rPr>
          <w:sz w:val="24"/>
          <w:szCs w:val="24"/>
        </w:rPr>
        <w:t xml:space="preserve">Η διαχρονική αποτύπωση της εταιρικής υπευθυνότητας μπορεί να χρησιμεύσει επικοινωνιακά και να αποτελέσει επιπρόσθετο στοιχείο περαιτέρω ενδυνάμωσης της θέσης της εταιρείας στην αγορά, “κεφαλαιοποιώντας” την υπεραξία που εν δυνάμει μπορεί να προσφέρει ένας τέτοιος απολογισμός, μέσω της ενίσχυσης της φήμης της εταιρείας και της εικόνας της προς τα ενδιαφερόμενα μέρη. Όμως, θα πρέπει να αποτελέσει και απαρχή για τη διαμόρφωση-κατάρτιση-ανάπτυξη πολιτικών, προγραμμάτων ή/και διαδικασιών (που ίσως </w:t>
      </w:r>
      <w:r w:rsidRPr="00D43AC0">
        <w:rPr>
          <w:i/>
          <w:sz w:val="24"/>
          <w:szCs w:val="24"/>
        </w:rPr>
        <w:t>άτυπα</w:t>
      </w:r>
      <w:r w:rsidRPr="00D43AC0">
        <w:rPr>
          <w:sz w:val="24"/>
          <w:szCs w:val="24"/>
        </w:rPr>
        <w:t xml:space="preserve"> ήδη να ενυπάρχουν στη λειτουργία του οργανισμού) που θα έχουν ως στόχο την περαιτέρω προαγωγή της εταιρικής υπευθυνότητας. </w:t>
      </w:r>
    </w:p>
    <w:p w:rsidR="00E72702" w:rsidRPr="00D43AC0" w:rsidRDefault="00E72702" w:rsidP="0047330E">
      <w:pPr>
        <w:tabs>
          <w:tab w:val="left" w:pos="2010"/>
        </w:tabs>
        <w:spacing w:line="360" w:lineRule="auto"/>
        <w:jc w:val="both"/>
        <w:rPr>
          <w:sz w:val="24"/>
          <w:szCs w:val="24"/>
        </w:rPr>
      </w:pPr>
      <w:r w:rsidRPr="00D43AC0">
        <w:rPr>
          <w:sz w:val="24"/>
          <w:szCs w:val="24"/>
        </w:rPr>
        <w:t>Σε αυτό το πλαίσιο η δημοσίευση του πρώτου απολογισμού ΕΚΕ θα πρέπει να αντιμετωπιστεί ως μια “ακτινογραφία”, μια αρχική, συνοπτική αξιολόγηση, της υφιστάμενης κατάστασης που βρίσκεται ο οργανισμός στα πλαίσια της - κοινωνικά και περιβαλλοντικά - υπεύθυνης λειτουργίας του. Μπορεί να αναδείξει-επισημάνει τα “ευαίσθητα” σημεία όπου πρέπει να δοθεί έμφαση και βελτιωτικές αλλαγές, να αποτελέσει την απαρχή μιας πιο ολιστικής προσέγγισης στην έννοια της εταιρικής επίδοσης, της ευθύνης έναντι του συνόλου της κοινωνίας.</w:t>
      </w:r>
    </w:p>
    <w:p w:rsidR="00E72702" w:rsidRPr="00D43AC0" w:rsidRDefault="00E72702" w:rsidP="0047330E">
      <w:pPr>
        <w:tabs>
          <w:tab w:val="left" w:pos="2010"/>
        </w:tabs>
        <w:spacing w:line="360" w:lineRule="auto"/>
        <w:jc w:val="both"/>
        <w:rPr>
          <w:sz w:val="24"/>
          <w:szCs w:val="24"/>
        </w:rPr>
      </w:pPr>
      <w:r w:rsidRPr="00D43AC0">
        <w:rPr>
          <w:sz w:val="24"/>
          <w:szCs w:val="24"/>
        </w:rPr>
        <w:t xml:space="preserve">Ουσιαστικά, τα αποτελέσματα αυτής της πρώτης “ακτινογραφίας” μπορούν να χρησιμεύσουν ως εφαλτήριο για τον εντοπισμό των κατευθύνσεων προς τις οποίες </w:t>
      </w:r>
      <w:r w:rsidRPr="00D43AC0">
        <w:rPr>
          <w:sz w:val="24"/>
          <w:szCs w:val="24"/>
        </w:rPr>
        <w:lastRenderedPageBreak/>
        <w:t>μπορεί να κινηθεί η εταιρεία όσον αφορά τις δράσεις κοινωνικής υπευθυνότητας. Πιθαν</w:t>
      </w:r>
      <w:r w:rsidR="00D6331C">
        <w:rPr>
          <w:sz w:val="24"/>
          <w:szCs w:val="24"/>
        </w:rPr>
        <w:t>ά</w:t>
      </w:r>
      <w:r w:rsidRPr="00D43AC0">
        <w:rPr>
          <w:sz w:val="24"/>
          <w:szCs w:val="24"/>
        </w:rPr>
        <w:t xml:space="preserve"> κενά ή ελλείψεις που εντοπίζονται στον πρώτο απολογισμό, μπορούν να αντιμετωπιστούν σαν “ευκαιρίες” που παρουσιάζονται για την ανάληψη δράσεων στα συγκεκριμένα πεδία. Για παράδειγμα, μια ενδεχόμενη έλλειψη πληροφορίας αναφορικά με τον δείκτη που αφορά τα παράπονα πελατών προς την εταιρεία, θα μπορούσε να αντιμετωπιστεί ως ευκαιρία για ανάληψη δράσης στο συγκεκριμένο πεδίο, εφόσον βεβαίως μια εταιρεία έχει ως σκοπό την βελτίωση της επίδοσής τόσο του απολογισμού εταιρικής κοινωνικής ευθύνης, όσο και τη βελτίωση της ίδιας της «πραγματικής» επίδοσης της εταιρείας στις διάφορες πτυχές της κοινωνικά και περιβαλλοντικά υπεύθυνης λειτουργίας της.</w:t>
      </w:r>
    </w:p>
    <w:p w:rsidR="009C15E8" w:rsidRPr="00D43AC0" w:rsidRDefault="009C15E8" w:rsidP="0047330E">
      <w:pPr>
        <w:spacing w:line="360" w:lineRule="auto"/>
        <w:jc w:val="both"/>
        <w:rPr>
          <w:sz w:val="24"/>
          <w:szCs w:val="24"/>
        </w:rPr>
      </w:pPr>
      <w:r w:rsidRPr="00D43AC0">
        <w:rPr>
          <w:sz w:val="24"/>
          <w:szCs w:val="24"/>
        </w:rPr>
        <w:t>Μάλιστα, οι διεθνείς τάσεις δείχνουν ότι πολλές εταιρείες ανά τον κόσμο κινούνται προς τη δημοσίευση μιας ετήσιας, ενοποιημένης έκθεσης (</w:t>
      </w:r>
      <w:r w:rsidRPr="00D43AC0">
        <w:rPr>
          <w:sz w:val="24"/>
          <w:szCs w:val="24"/>
          <w:lang w:val="en-US"/>
        </w:rPr>
        <w:t>integrated</w:t>
      </w:r>
      <w:r w:rsidRPr="00D43AC0">
        <w:rPr>
          <w:sz w:val="24"/>
          <w:szCs w:val="24"/>
        </w:rPr>
        <w:t xml:space="preserve"> </w:t>
      </w:r>
      <w:r w:rsidRPr="00D43AC0">
        <w:rPr>
          <w:sz w:val="24"/>
          <w:szCs w:val="24"/>
          <w:lang w:val="en-US"/>
        </w:rPr>
        <w:t>report</w:t>
      </w:r>
      <w:r w:rsidRPr="00D43AC0">
        <w:rPr>
          <w:sz w:val="24"/>
          <w:szCs w:val="24"/>
        </w:rPr>
        <w:t xml:space="preserve">), όπου η χρηματοοικονομική επίδοση αποτυπώνεται παράλληλα με την μη-χρηματοοικονομική, κάτι που υποδηλώνει τη δέσμευσή τους για συνεπή και περιεκτική πληροφόρηση των ομάδων ενδιαφέροντός τους (stakeholders) αλλά και την αναγνώριση της ΕΚΕ ως αναπόσπαστου τμήματος της επιχειρηματικής στρατηγικής. Σε αυτό έχει βέβαια έχουν συμβάλλει και οι δυνάμεις της αγοράς. Κατά την περίοδο </w:t>
      </w:r>
      <w:r w:rsidR="0038295A" w:rsidRPr="00D43AC0">
        <w:rPr>
          <w:sz w:val="24"/>
          <w:szCs w:val="24"/>
        </w:rPr>
        <w:t>2008</w:t>
      </w:r>
      <w:r w:rsidRPr="00D43AC0">
        <w:rPr>
          <w:sz w:val="24"/>
          <w:szCs w:val="24"/>
        </w:rPr>
        <w:t>-20</w:t>
      </w:r>
      <w:r w:rsidR="0038295A" w:rsidRPr="00D43AC0">
        <w:rPr>
          <w:sz w:val="24"/>
          <w:szCs w:val="24"/>
        </w:rPr>
        <w:t>10</w:t>
      </w:r>
      <w:r w:rsidRPr="00D43AC0">
        <w:rPr>
          <w:sz w:val="24"/>
          <w:szCs w:val="24"/>
        </w:rPr>
        <w:t xml:space="preserve"> οι επενδύσεις σε κοινωνικά (και περιβαλλοντικά) υπεύθυνες επιχειρήσεις (socially responsible investments – SRIs) αυξήθηκαν από $</w:t>
      </w:r>
      <w:r w:rsidR="0038295A" w:rsidRPr="00D43AC0">
        <w:rPr>
          <w:sz w:val="24"/>
          <w:szCs w:val="24"/>
        </w:rPr>
        <w:t>5</w:t>
      </w:r>
      <w:r w:rsidRPr="00D43AC0">
        <w:rPr>
          <w:sz w:val="24"/>
          <w:szCs w:val="24"/>
        </w:rPr>
        <w:t xml:space="preserve"> </w:t>
      </w:r>
      <w:r w:rsidR="0038295A" w:rsidRPr="00D43AC0">
        <w:rPr>
          <w:sz w:val="24"/>
          <w:szCs w:val="24"/>
        </w:rPr>
        <w:t>τρ</w:t>
      </w:r>
      <w:r w:rsidRPr="00D43AC0">
        <w:rPr>
          <w:sz w:val="24"/>
          <w:szCs w:val="24"/>
        </w:rPr>
        <w:t>ις σε $</w:t>
      </w:r>
      <w:r w:rsidR="0038295A" w:rsidRPr="00D43AC0">
        <w:rPr>
          <w:sz w:val="24"/>
          <w:szCs w:val="24"/>
        </w:rPr>
        <w:t>7,56</w:t>
      </w:r>
      <w:r w:rsidRPr="00D43AC0">
        <w:rPr>
          <w:sz w:val="24"/>
          <w:szCs w:val="24"/>
        </w:rPr>
        <w:t xml:space="preserve"> τρις (σύμφωνα με έρευνα του </w:t>
      </w:r>
      <w:r w:rsidR="00370AE5" w:rsidRPr="00D43AC0">
        <w:rPr>
          <w:sz w:val="24"/>
          <w:szCs w:val="24"/>
          <w:lang w:val="en-US"/>
        </w:rPr>
        <w:t>Eurosif</w:t>
      </w:r>
      <w:r w:rsidRPr="00D43AC0">
        <w:rPr>
          <w:sz w:val="24"/>
          <w:szCs w:val="24"/>
        </w:rPr>
        <w:t xml:space="preserve"> το</w:t>
      </w:r>
      <w:r w:rsidR="00370AE5" w:rsidRPr="00D43AC0">
        <w:rPr>
          <w:sz w:val="24"/>
          <w:szCs w:val="24"/>
          <w:lang w:val="en-US"/>
        </w:rPr>
        <w:t>u</w:t>
      </w:r>
      <w:r w:rsidRPr="00D43AC0">
        <w:rPr>
          <w:sz w:val="24"/>
          <w:szCs w:val="24"/>
        </w:rPr>
        <w:t xml:space="preserve"> 20</w:t>
      </w:r>
      <w:r w:rsidR="0038295A" w:rsidRPr="00D43AC0">
        <w:rPr>
          <w:sz w:val="24"/>
          <w:szCs w:val="24"/>
        </w:rPr>
        <w:t>10</w:t>
      </w:r>
      <w:r w:rsidRPr="00D43AC0">
        <w:rPr>
          <w:sz w:val="24"/>
          <w:szCs w:val="24"/>
        </w:rPr>
        <w:t>), καθώς η αποτελεσματικότητα της αγοράς είναι άμεσα συνυφασμένη με το μακροπρόθεσμο σχεδιασμό και τη βιωσιμότητα των δραστηριοτήτων της επιχείρησης, που βρίσκονται στον πυρήνα του εννοιολογικού πλαισίου της ΕΚΕ.</w:t>
      </w:r>
    </w:p>
    <w:p w:rsidR="00C72815" w:rsidRPr="00D43AC0" w:rsidRDefault="00C72815" w:rsidP="0047330E">
      <w:pPr>
        <w:spacing w:line="360" w:lineRule="auto"/>
        <w:jc w:val="both"/>
        <w:rPr>
          <w:sz w:val="24"/>
          <w:szCs w:val="24"/>
        </w:rPr>
      </w:pPr>
      <w:r w:rsidRPr="00D43AC0">
        <w:rPr>
          <w:sz w:val="24"/>
          <w:szCs w:val="24"/>
        </w:rPr>
        <w:t xml:space="preserve">Οι εκθέσεις ΕΚΕ έχουν αναδειχθεί πλέον σε ένα δυνητικά αποτελεσματικό μέσο ενημέρωσης του συνόλου των ενδιαφερομένων μερών μιας επιχείρησης αναφορικά με την περιεκτική αποτύπωση του οράματος και των δράσεων που υλοποιεί μια επιχείρηση στα πλαίσια της ΕΚΕ. Σε αυτό το πλαίσιο, το Εργαστήριο Επιχειρησιακής Περιβαλλοντικής Πολιτικής και Διαχείρισης (ΕΕΠΠΔ) του Πανεπιστημίου Αιγαίου αξιολογεί από το 2005 την πληρότητα των απολογισμών ΕΚΕ που δημοσιεύουν οργανισμοί και επιχειρήσεις στην Ελλάδα. </w:t>
      </w:r>
      <w:r w:rsidR="00D6331C">
        <w:rPr>
          <w:sz w:val="24"/>
          <w:szCs w:val="24"/>
        </w:rPr>
        <w:t>Η</w:t>
      </w:r>
      <w:r w:rsidRPr="00D43AC0">
        <w:rPr>
          <w:sz w:val="24"/>
          <w:szCs w:val="24"/>
        </w:rPr>
        <w:t xml:space="preserve"> μεθοδολογία αξιολόγησης έχει αναθεωρηθεί τρεις φορές, </w:t>
      </w:r>
      <w:r w:rsidR="00D6331C">
        <w:rPr>
          <w:sz w:val="24"/>
          <w:szCs w:val="24"/>
        </w:rPr>
        <w:t xml:space="preserve">παραμένοντας ενημερωμένη και σε σχέση με τις </w:t>
      </w:r>
      <w:r w:rsidR="00D6331C">
        <w:rPr>
          <w:sz w:val="24"/>
          <w:szCs w:val="24"/>
        </w:rPr>
        <w:lastRenderedPageBreak/>
        <w:t xml:space="preserve">κατευθυντήριες οδηγίες του </w:t>
      </w:r>
      <w:r w:rsidR="00D6331C">
        <w:rPr>
          <w:sz w:val="24"/>
          <w:szCs w:val="24"/>
          <w:lang w:val="en-US"/>
        </w:rPr>
        <w:t>Global</w:t>
      </w:r>
      <w:r w:rsidR="00D6331C" w:rsidRPr="005C29B7">
        <w:rPr>
          <w:sz w:val="24"/>
          <w:szCs w:val="24"/>
        </w:rPr>
        <w:t xml:space="preserve"> </w:t>
      </w:r>
      <w:r w:rsidR="00D6331C">
        <w:rPr>
          <w:sz w:val="24"/>
          <w:szCs w:val="24"/>
          <w:lang w:val="en-US"/>
        </w:rPr>
        <w:t>Reporting</w:t>
      </w:r>
      <w:r w:rsidR="00D6331C" w:rsidRPr="005C29B7">
        <w:rPr>
          <w:sz w:val="24"/>
          <w:szCs w:val="24"/>
        </w:rPr>
        <w:t xml:space="preserve"> </w:t>
      </w:r>
      <w:r w:rsidR="00D6331C">
        <w:rPr>
          <w:sz w:val="24"/>
          <w:szCs w:val="24"/>
          <w:lang w:val="en-US"/>
        </w:rPr>
        <w:t>Initiative</w:t>
      </w:r>
      <w:r w:rsidR="005E0638" w:rsidRPr="005E0638">
        <w:rPr>
          <w:sz w:val="24"/>
          <w:szCs w:val="24"/>
        </w:rPr>
        <w:t xml:space="preserve"> </w:t>
      </w:r>
      <w:r w:rsidR="005E0638" w:rsidRPr="00D43AC0">
        <w:rPr>
          <w:sz w:val="24"/>
          <w:szCs w:val="24"/>
        </w:rPr>
        <w:t>που στοχεύουν την κατάρτιση εκθέσεων ΕΚΕ που προάγουν τη συγκρισιμότητα και την κάλυψη ενός περιεκτικού φάσματος ποιοτικών και ποσοτικών δεικτών επίδοσης</w:t>
      </w:r>
      <w:r w:rsidR="00D6331C" w:rsidRPr="005C29B7">
        <w:rPr>
          <w:sz w:val="24"/>
          <w:szCs w:val="24"/>
        </w:rPr>
        <w:t xml:space="preserve">. </w:t>
      </w:r>
      <w:r w:rsidR="00D6331C">
        <w:rPr>
          <w:sz w:val="24"/>
          <w:szCs w:val="24"/>
        </w:rPr>
        <w:t>Πραγματοποιώντας μια συγκριτική αξιολόγηση,</w:t>
      </w:r>
      <w:r w:rsidR="00D6331C" w:rsidRPr="00D6331C">
        <w:rPr>
          <w:sz w:val="24"/>
          <w:szCs w:val="24"/>
        </w:rPr>
        <w:t xml:space="preserve"> </w:t>
      </w:r>
      <w:r w:rsidR="00D6331C" w:rsidRPr="00D43AC0">
        <w:rPr>
          <w:sz w:val="24"/>
          <w:szCs w:val="24"/>
        </w:rPr>
        <w:t>σημαντικά στοιχεία μπορούν να επισημανθούν μέσα σε αυτό το διάστημα για την ελληνική περίπτωση.</w:t>
      </w:r>
    </w:p>
    <w:p w:rsidR="00AC0DFE" w:rsidRPr="00D43AC0" w:rsidRDefault="005E0638" w:rsidP="0047330E">
      <w:pPr>
        <w:spacing w:line="360" w:lineRule="auto"/>
        <w:jc w:val="both"/>
        <w:rPr>
          <w:sz w:val="24"/>
          <w:szCs w:val="24"/>
        </w:rPr>
      </w:pPr>
      <w:r>
        <w:rPr>
          <w:sz w:val="24"/>
          <w:szCs w:val="24"/>
        </w:rPr>
        <w:t>Τα συνολικά ευρήματα</w:t>
      </w:r>
      <w:r w:rsidR="00AC0DFE" w:rsidRPr="00D43AC0">
        <w:rPr>
          <w:sz w:val="24"/>
          <w:szCs w:val="24"/>
        </w:rPr>
        <w:t xml:space="preserve"> δίνουν ένα ενθαρρυντικό μήνυμα ότι η δημοσίευση πληροφοριών ΕΚΕ στην Ελλάδα έχει αποκτήσει κάποια δυναμική και η εγχώρια επιχειρηματική κοινότητα εμφανίζει σημάδια ανταπόκρισης σε τρέχουσες διεθνείς τάσεις και βέλτιστες πρακτικές. Ωστόσο, τα σημαντικά περιθώρια βελτίωσης και διάχυσης συναφών πρακτικών θα πρέπει να επισημανθούν. </w:t>
      </w:r>
    </w:p>
    <w:p w:rsidR="00AC0DFE" w:rsidRPr="00D43AC0" w:rsidRDefault="00AC0DFE" w:rsidP="0047330E">
      <w:pPr>
        <w:tabs>
          <w:tab w:val="left" w:pos="2010"/>
        </w:tabs>
        <w:spacing w:line="360" w:lineRule="auto"/>
        <w:jc w:val="both"/>
        <w:rPr>
          <w:sz w:val="24"/>
          <w:szCs w:val="24"/>
        </w:rPr>
      </w:pPr>
      <w:r w:rsidRPr="00D43AC0">
        <w:rPr>
          <w:sz w:val="24"/>
          <w:szCs w:val="24"/>
        </w:rPr>
        <w:t xml:space="preserve">Οι λόγοι που εξηγούν γιατί στην Ελλάδα οι επιχειρήσεις είναι διστακτικές στη διάθεση πόρων και χρόνου για την αναζήτηση των δυνατοτήτων που μπορεί να τους προσφέρει η δημοσιοποίηση μη-χρηματοοικονομικών πληροφοριών ποικίλουν. Υπάρχει απουσία οργανωμένων συστημάτων για τον έλεγχο, τη μέτρηση και την καταγραφή βασικών ζητημάτων αειφόρου (οικονομικής-περιβαλλοντικής-κοινωνικής) επίδοσης, λόγω υποεκτίμησης των ενδεχόμενων ωφελειών μιας τέτοιας πρακτικής, που διαφορετικά θα είχαν εντοπιστεί και κινητοποιήσει περισσότερους οργανισμούς να επενδύσουν στην διερεύνηση νέων, καινοτόμων ευκαιριών. Η ελλιπής ενημέρωση στην έννοια της περιβαλλοντικά και κοινωνικά υπεύθυνης (αειφορικής) διαχείρισης ή/και σχετικών win-win παραδειγμάτων από άλλες επιχειρήσεις, μάλλον αποτρέπουν την προθυμία ενός οργανισμού να εξερευνήσει τις επιχειρηματικές ευκαιρίες που μπορεί να αναδυθούν από την υιοθέτηση ενός ουσιαστικότερου διαλόγου και διαβούλευσης με τα ενδιαφερόμενα του μέρη. Επιπροσθέτως, η μακρά “προϊστορία” των νομοθετικών εργαλείων διαταγών και ελέγχου (command and control instruments) στη διαμόρφωση (περιβαλλοντικής) πολιτικής στις Δυτικές χώρες έχει εν μέρει καθιερώσει την αντίληψη ότι ζητήματα σχετικά με το περιβάλλον (αλλά και μη-χρηματοοικονομικά εν γένει) συνδέονται πάντοτε με επιπρόσθετο κόστος για την επιχείρηση. Το τελευταίο είναι ίσως ιδιαιτέρως χαρακτηριστικό στην περίπτωση της Ελλάδας που η κανονιστική, γραφειοκρατική και άκαμπτη προσέγγιση στην χάραξη περιβαλλοντικής πολιτικής – που είναι εμφανής και από τη χαμηλή επίγνωση των επιμέρους ομάδων </w:t>
      </w:r>
      <w:r w:rsidRPr="00D43AC0">
        <w:rPr>
          <w:sz w:val="24"/>
          <w:szCs w:val="24"/>
        </w:rPr>
        <w:lastRenderedPageBreak/>
        <w:t>ενδιαφέροντος για τις εθελοντικές δράσεις ΕΚΕ – εξηγεί το χαμηλό βαθμό ανάληψης εθελοντικών πρωτοβουλιών καθώς και το γεγονός ότι η πλειονότητα από τις ελληνικές επιχειρήσεις δεν εφαρμόζει την αρχή της πρόληψης όσο επιχειρήσεις άλλων ευρωπαϊκών κρατών.</w:t>
      </w:r>
    </w:p>
    <w:p w:rsidR="009C15E8" w:rsidRPr="00D43AC0" w:rsidRDefault="009C15E8" w:rsidP="0047330E">
      <w:pPr>
        <w:spacing w:line="360" w:lineRule="auto"/>
        <w:jc w:val="both"/>
        <w:rPr>
          <w:sz w:val="24"/>
          <w:szCs w:val="24"/>
        </w:rPr>
      </w:pPr>
      <w:r w:rsidRPr="00D43AC0">
        <w:rPr>
          <w:sz w:val="24"/>
          <w:szCs w:val="24"/>
        </w:rPr>
        <w:t>Στην δύσκολη περίοδο που διανύει η Ελλάδα, η προαγωγή εθελοντικών δράσεων ιδιωτικών επιχειρήσεων στη βάση των αρχών της διαφάνειας και της διευρυμένης λογοδοσίας μπορεί να αποβεί ιδιαιτέρως ωφέλιμη. Η ανάπτυξη μικρής κλίμακας πρωτοβουλιών μέσω της παρακολούθησης, καταγραφής και πληροφόρησης της μη-χρηματοοικονομικής επίδοσης είναι δυνατό να συμβάλλει στη διείσδυση της έννοιας της εταιρικής υπευθυνότητας στην οργανωσιακή κουλτούρα, να γίνει αρωγός στην μεσομακροπρόθεσμη εισαγωγή οικονομικά ωφέλιμων καινοτομιών και λειτουργικών βελτιώσεων στην παραγωγική διαδικασία, να συμβάλλει δυνητικά στην κοινωνική ευημερία αλλά και την εθνική ανταγωνιστικότητα.</w:t>
      </w:r>
    </w:p>
    <w:p w:rsidR="00C72815" w:rsidRPr="00D43AC0" w:rsidRDefault="00C72815" w:rsidP="0047330E">
      <w:pPr>
        <w:tabs>
          <w:tab w:val="left" w:pos="2010"/>
        </w:tabs>
        <w:spacing w:line="360" w:lineRule="auto"/>
        <w:jc w:val="both"/>
        <w:rPr>
          <w:sz w:val="24"/>
          <w:szCs w:val="24"/>
        </w:rPr>
      </w:pPr>
      <w:r w:rsidRPr="00D43AC0">
        <w:rPr>
          <w:sz w:val="24"/>
          <w:szCs w:val="24"/>
        </w:rPr>
        <w:t xml:space="preserve">Κάτι τέτοιο, σε συνδυασμό με τη εμπειρία που θα αποκομίσει η εταιρεία από την κατάρτιση/προετοιμασία κοινωνικών απολογισμών μεσοπρόθεσμα, μπορεί να αποτελέσει ένα (δυνητικά ανταγωνιστικό) πλεονέκτημα έναντι των υπολοίπων επιχειρήσεων που δραστηριοποιούνται στον αντίστοιχο κλάδο επιχειρηματικής δραστηριότητας. Ένα πλεονέκτημα που συνίσταται στην έμπρακτη, τεκμηριωμένη απόδειξη ότι η εταιρεία “παρακολουθεί” διαχρονικά το κοινωνικό και περιβαλλοντικό της αποτύπωμα και πληροφορεί τα ενδιαφερόμενα μέρη της ανά τακτά διαστήματα (σε ετήσια βάση, αν επιλέξει να δημοσιεύει απολογισμό ΕΚΕ παράλληλα με τον τακτικό, χρηματοοικονομικό απολογισμό) σχετικά με αυτό. </w:t>
      </w:r>
    </w:p>
    <w:p w:rsidR="00E57044" w:rsidRDefault="00E57044" w:rsidP="0047330E">
      <w:pPr>
        <w:tabs>
          <w:tab w:val="left" w:pos="2010"/>
        </w:tabs>
        <w:spacing w:line="360" w:lineRule="auto"/>
        <w:jc w:val="both"/>
        <w:rPr>
          <w:i/>
          <w:sz w:val="24"/>
          <w:szCs w:val="24"/>
        </w:rPr>
      </w:pPr>
    </w:p>
    <w:p w:rsidR="005B350B" w:rsidRDefault="005B350B" w:rsidP="0047330E">
      <w:pPr>
        <w:tabs>
          <w:tab w:val="left" w:pos="2010"/>
        </w:tabs>
        <w:spacing w:line="360" w:lineRule="auto"/>
        <w:jc w:val="both"/>
        <w:rPr>
          <w:i/>
          <w:sz w:val="24"/>
          <w:szCs w:val="24"/>
        </w:rPr>
      </w:pPr>
    </w:p>
    <w:p w:rsidR="005B350B" w:rsidRDefault="005B350B" w:rsidP="0047330E">
      <w:pPr>
        <w:tabs>
          <w:tab w:val="left" w:pos="2010"/>
        </w:tabs>
        <w:spacing w:line="360" w:lineRule="auto"/>
        <w:jc w:val="both"/>
        <w:rPr>
          <w:i/>
          <w:sz w:val="24"/>
          <w:szCs w:val="24"/>
        </w:rPr>
      </w:pPr>
    </w:p>
    <w:p w:rsidR="005B350B" w:rsidRDefault="005B350B" w:rsidP="0047330E">
      <w:pPr>
        <w:tabs>
          <w:tab w:val="left" w:pos="2010"/>
        </w:tabs>
        <w:spacing w:line="360" w:lineRule="auto"/>
        <w:jc w:val="both"/>
        <w:rPr>
          <w:i/>
          <w:sz w:val="24"/>
          <w:szCs w:val="24"/>
        </w:rPr>
      </w:pPr>
    </w:p>
    <w:p w:rsidR="005B350B" w:rsidRDefault="005B350B" w:rsidP="0047330E">
      <w:pPr>
        <w:tabs>
          <w:tab w:val="left" w:pos="2010"/>
        </w:tabs>
        <w:spacing w:line="360" w:lineRule="auto"/>
        <w:jc w:val="both"/>
        <w:rPr>
          <w:i/>
          <w:sz w:val="24"/>
          <w:szCs w:val="24"/>
        </w:rPr>
      </w:pPr>
    </w:p>
    <w:p w:rsidR="005B350B" w:rsidRDefault="005B350B" w:rsidP="0047330E">
      <w:pPr>
        <w:tabs>
          <w:tab w:val="left" w:pos="2010"/>
        </w:tabs>
        <w:spacing w:line="360" w:lineRule="auto"/>
        <w:jc w:val="both"/>
        <w:rPr>
          <w:i/>
          <w:sz w:val="24"/>
          <w:szCs w:val="24"/>
        </w:rPr>
      </w:pPr>
    </w:p>
    <w:p w:rsidR="00AC0DFE" w:rsidRPr="005B350B" w:rsidRDefault="00AC0DFE" w:rsidP="005B350B">
      <w:pPr>
        <w:tabs>
          <w:tab w:val="left" w:pos="2257"/>
        </w:tabs>
        <w:spacing w:line="360" w:lineRule="auto"/>
        <w:jc w:val="both"/>
        <w:rPr>
          <w:b/>
          <w:sz w:val="24"/>
          <w:szCs w:val="24"/>
        </w:rPr>
      </w:pPr>
      <w:r w:rsidRPr="005B350B">
        <w:rPr>
          <w:b/>
          <w:sz w:val="24"/>
          <w:szCs w:val="24"/>
        </w:rPr>
        <w:lastRenderedPageBreak/>
        <w:t xml:space="preserve">Προκλήσεις στην κατάρτιση απολογισμών ΕΚΕ – </w:t>
      </w:r>
      <w:r w:rsidR="00A86FC7" w:rsidRPr="005B350B">
        <w:rPr>
          <w:b/>
          <w:sz w:val="24"/>
          <w:szCs w:val="24"/>
        </w:rPr>
        <w:t>Αναδυόμενες κ</w:t>
      </w:r>
      <w:r w:rsidRPr="005B350B">
        <w:rPr>
          <w:b/>
          <w:sz w:val="24"/>
          <w:szCs w:val="24"/>
        </w:rPr>
        <w:t>αλές πρακτικές</w:t>
      </w:r>
    </w:p>
    <w:p w:rsidR="00E50715" w:rsidRPr="00D43AC0" w:rsidRDefault="00E50715" w:rsidP="0047330E">
      <w:pPr>
        <w:spacing w:line="360" w:lineRule="auto"/>
        <w:jc w:val="both"/>
        <w:rPr>
          <w:sz w:val="24"/>
          <w:szCs w:val="24"/>
        </w:rPr>
      </w:pPr>
      <w:r w:rsidRPr="00D43AC0">
        <w:rPr>
          <w:sz w:val="24"/>
          <w:szCs w:val="24"/>
        </w:rPr>
        <w:t xml:space="preserve">Πριν κάθε εταιρεία προχωρήσει στην σύνταξη και δημοσίευση μιας τέτοιας έκθεσης (που εξ ορισμού συνεπάγεται τη δέσμευση πόρων για την υλοποίησή της) είναι απαραίτητη η κατάρτιση μιας τυπικής ανάλυσης κόστους-οφέλους. Και ενώ το κόστος είναι εύκολο να ποσοτικοποιηθεί, τα προσδοκώμενα οφέλη αν και πολυδιάστατα πρέπει να εντοπιστούν και αξιολογηθούν από τη διοίκηση της επιχείρησης. Τι αναμένουμε να πετύχουμε με τη δημοσίευση αυτής της έκθεσης; Σε τι αποσκοπεί η υλοποίησή της; Τι θα προσφέρει στην εταιρεία; Μια τέτοια προεργασία μπορεί να καταστήσει την συγκεκριμένη πρακτική λογοδοσίας ουσιαστικό εργαλείο προς την κατεύθυνση της διαβούλευσης με τα ενδιαφερόμενα μέρη και της διαφοροποίησης από άλλες εταιρείες του κλάδου. </w:t>
      </w:r>
    </w:p>
    <w:p w:rsidR="00E50715" w:rsidRPr="00D43AC0" w:rsidRDefault="00E50715" w:rsidP="0047330E">
      <w:pPr>
        <w:spacing w:line="360" w:lineRule="auto"/>
        <w:jc w:val="both"/>
        <w:rPr>
          <w:sz w:val="24"/>
          <w:szCs w:val="24"/>
        </w:rPr>
      </w:pPr>
      <w:r w:rsidRPr="00D43AC0">
        <w:rPr>
          <w:sz w:val="24"/>
          <w:szCs w:val="24"/>
        </w:rPr>
        <w:t>Ομοίως, είναι σημαντική και η αξιολόγηση του αντίκτυπου (impact) που είχε η έκθεση ΕΚΕ για την επιχείρηση και τις σχέσεις της με τους κοινωνικούς της εταίρους. Υπάρχουν απτά οφέλη από την έκθεση; Κατά πόσο συμβάλλει στη διαβούλευση με τα ενδιαφερόμενα μέρη; Πόσοι ανταποκρίθηκαν στις πληροφορίες που περιείχε και επικοινώνησαν με την εταιρεία ως ανάδραση (</w:t>
      </w:r>
      <w:r w:rsidRPr="00D43AC0">
        <w:rPr>
          <w:sz w:val="24"/>
          <w:szCs w:val="24"/>
          <w:lang w:val="en-US"/>
        </w:rPr>
        <w:t>feedback</w:t>
      </w:r>
      <w:r w:rsidRPr="00D43AC0">
        <w:rPr>
          <w:sz w:val="24"/>
          <w:szCs w:val="24"/>
        </w:rPr>
        <w:t xml:space="preserve">) ή με σκοπό διευκρινήσεις ή/και περισσότερες πληροφορίες; Ποια είναι η γνώμη των ενδιαφερομένων μερών για την έκθεση; Πως την αξιολογούν; Ποια είναι τα σημεία που κατά τη γνώμη τους θα ήθελαν περισσότερη έμφαση; Απαντήσεις σε τέτοια ερωτήματα μπορούν δραστικά να οδηγήσουν σε διαχρονικές βελτιώσεις.  </w:t>
      </w:r>
    </w:p>
    <w:p w:rsidR="00E50715" w:rsidRPr="00D43AC0" w:rsidRDefault="00E50715" w:rsidP="0047330E">
      <w:pPr>
        <w:spacing w:line="360" w:lineRule="auto"/>
        <w:jc w:val="both"/>
        <w:rPr>
          <w:sz w:val="24"/>
          <w:szCs w:val="24"/>
        </w:rPr>
      </w:pPr>
      <w:r w:rsidRPr="00D43AC0">
        <w:rPr>
          <w:sz w:val="24"/>
          <w:szCs w:val="24"/>
        </w:rPr>
        <w:t xml:space="preserve">Μια τέτοια έκθεση αποτελεί ευκαιρία να εκφραστεί η διοικητική και οργανωσιακή κουλτούρα της μεμονωμένης επιχείρησης. Θα πρέπει να αποφεύγονται μιμητικές τάσεις τόσο στη δομή όσο και τη γλώσσα που χρησιμοποιείται στον απολογισμό. Επιπλέον, είναι αναγκαίο να δίδεται έμφαση στα επιμέρους ζητήματα ΕΚΕ ανάλογη της ουσιαστικότητας που έχει το κάθε ένα από αυτά για την επιχείρηση. Είναι αδόκιμο να υπάρχει συγκριτικά υπέρμετρη αναφορά σε μια διάσταση της ΕΚΕ, υποεκτιμώντας την κρισιμότητα άλλων (ίσως ακόμα και πιο σημαντικών) θεμάτων. </w:t>
      </w:r>
    </w:p>
    <w:p w:rsidR="00E50715" w:rsidRPr="00D43AC0" w:rsidRDefault="00E50715" w:rsidP="0047330E">
      <w:pPr>
        <w:spacing w:line="360" w:lineRule="auto"/>
        <w:jc w:val="both"/>
        <w:rPr>
          <w:sz w:val="24"/>
          <w:szCs w:val="24"/>
        </w:rPr>
      </w:pPr>
      <w:r w:rsidRPr="00D43AC0">
        <w:rPr>
          <w:sz w:val="24"/>
          <w:szCs w:val="24"/>
        </w:rPr>
        <w:t xml:space="preserve">Ως εκ τούτου, η ενσωμάτωση βασικών αρχών λογοδοσίας είναι επιτακτική για ένα επιτυχημένο απολογισμό ΕΚΕ, ενώ θα πρέπει να είναι αποσυνδεδεμένη από τον αριθμό δεικτών επίδοσης και από την έκταση της έκθεσης. Μια ολιγοσέλιδη έκθεση </w:t>
      </w:r>
      <w:r w:rsidRPr="00D43AC0">
        <w:rPr>
          <w:sz w:val="24"/>
          <w:szCs w:val="24"/>
        </w:rPr>
        <w:lastRenderedPageBreak/>
        <w:t>που καλύπτει με σαφήνεια ένα μικρό αριθμό δεικτών από τις επιμέρους σημαντικές διαστάσεις ΕΚΕ είναι προτιμότερη προσέγγιση από μια πολυσέλιδη έκθεση που αναφέρει μεγάλο αριθμό δεικτών οι οποίοι όμως καλύπτονται μερικώς και υπονομεύουν την ποιότητα πληροφόρησης.</w:t>
      </w:r>
    </w:p>
    <w:p w:rsidR="00E50715" w:rsidRPr="00D43AC0" w:rsidRDefault="00E50715" w:rsidP="0047330E">
      <w:pPr>
        <w:spacing w:line="360" w:lineRule="auto"/>
        <w:jc w:val="both"/>
        <w:rPr>
          <w:sz w:val="24"/>
          <w:szCs w:val="24"/>
        </w:rPr>
      </w:pPr>
      <w:r w:rsidRPr="00D43AC0">
        <w:rPr>
          <w:sz w:val="24"/>
          <w:szCs w:val="24"/>
        </w:rPr>
        <w:t>Τέλος, η επαλήθευση του συνόλου της έκθεση αποτελεί την πλέον κρίσιμη παράμετρο που θα πρέπει</w:t>
      </w:r>
      <w:r w:rsidR="008756CF">
        <w:rPr>
          <w:sz w:val="24"/>
          <w:szCs w:val="24"/>
        </w:rPr>
        <w:t xml:space="preserve"> να εστιάσουν οι επιχειρήσεις και είναι ενθαρρυντικό ότι κάποιες εταιρείες εφαρμόζουν πρακτικές εξωτερικής επαλήθευσης.</w:t>
      </w:r>
    </w:p>
    <w:p w:rsidR="00831A01" w:rsidRPr="00D43AC0" w:rsidRDefault="00AC0DFE" w:rsidP="0047330E">
      <w:pPr>
        <w:spacing w:after="0" w:line="360" w:lineRule="auto"/>
        <w:jc w:val="both"/>
        <w:rPr>
          <w:sz w:val="24"/>
          <w:szCs w:val="24"/>
        </w:rPr>
      </w:pPr>
      <w:r w:rsidRPr="00D43AC0">
        <w:rPr>
          <w:sz w:val="24"/>
          <w:szCs w:val="24"/>
        </w:rPr>
        <w:t xml:space="preserve">Αν και σε </w:t>
      </w:r>
      <w:r w:rsidR="00A86FC7" w:rsidRPr="00D43AC0">
        <w:rPr>
          <w:sz w:val="24"/>
          <w:szCs w:val="24"/>
        </w:rPr>
        <w:t>παγκόσμιο</w:t>
      </w:r>
      <w:r w:rsidR="00831A01" w:rsidRPr="00D43AC0">
        <w:rPr>
          <w:sz w:val="24"/>
          <w:szCs w:val="24"/>
        </w:rPr>
        <w:t xml:space="preserve"> επίπεδο, η δημοσίευση απολογισμών αειφορίας παρουσιάζει ευδιάκριτη αύξηση την τελευταία δεκαετία και τείνει να καθιερωθεί ως μια σύγχρονη πρακτική εταιρικής επικοινωνίας με στόχο την αντιμετώπιση της ασυμμετρίας στην πληροφόρηση. Ωστόσο, παρά την (νέα) αυτή τάση των εταιρειών να  ‘μιλάνε’ ανοικτά για θέματα επίδοσης πέρα της (χρηματο)οικονομικής τους διαχείρισης, συνεχίζει να υπάρχει σκεπτικισμός και δυσπιστία στο βαθμό που ο </w:t>
      </w:r>
      <w:r w:rsidR="008756CF">
        <w:rPr>
          <w:sz w:val="24"/>
          <w:szCs w:val="24"/>
        </w:rPr>
        <w:t>‘</w:t>
      </w:r>
      <w:r w:rsidR="00831A01" w:rsidRPr="00D43AC0">
        <w:rPr>
          <w:sz w:val="24"/>
          <w:szCs w:val="24"/>
        </w:rPr>
        <w:t>κόσμος</w:t>
      </w:r>
      <w:r w:rsidR="008756CF">
        <w:rPr>
          <w:sz w:val="24"/>
          <w:szCs w:val="24"/>
        </w:rPr>
        <w:t>’</w:t>
      </w:r>
      <w:r w:rsidR="00831A01" w:rsidRPr="00D43AC0">
        <w:rPr>
          <w:sz w:val="24"/>
          <w:szCs w:val="24"/>
        </w:rPr>
        <w:t xml:space="preserve"> των μεγάλων επιχειρήσεων όντως προάγει την διαφάνεια και η λογοδοσία τους σε θέματα αειφορίας </w:t>
      </w:r>
      <w:r w:rsidR="008756CF">
        <w:rPr>
          <w:sz w:val="24"/>
          <w:szCs w:val="24"/>
        </w:rPr>
        <w:t xml:space="preserve">και οι πληροφορίες που δημοσιεύουν όντως </w:t>
      </w:r>
      <w:r w:rsidR="00831A01" w:rsidRPr="00D43AC0">
        <w:rPr>
          <w:sz w:val="24"/>
          <w:szCs w:val="24"/>
        </w:rPr>
        <w:t>συμβαδίζ</w:t>
      </w:r>
      <w:r w:rsidR="008756CF">
        <w:rPr>
          <w:sz w:val="24"/>
          <w:szCs w:val="24"/>
        </w:rPr>
        <w:t>ουν</w:t>
      </w:r>
      <w:r w:rsidR="00831A01" w:rsidRPr="00D43AC0">
        <w:rPr>
          <w:sz w:val="24"/>
          <w:szCs w:val="24"/>
        </w:rPr>
        <w:t xml:space="preserve"> με τις πρακτικές που εφαρμόζουν. Οι υποστηρικτές των απολογισμών αειφορίας επισημαίνουν ότι οι συγκεκριμένες εκθέσεις αποτελούν αξιόπιστα εργαλεία ενημέρωσης της αγοράς ότι η εταιρεία δρα προληπτικά στην αντιμετώπιση ενδεχόμενων μη-χρηματοοικονομικών κινδύνων. Ωστόσο, έχουν εκφραστεί έντονες επικρίσεις για τάσεις οργανωσιακού ναρκισσισμού καθώς τείνει να εντοπίζεται μονομερής έμφαση σε επιτυχίες, βραβεύσεις/διακρίσεις και θετικά επιτεύγματα με ταυτόχρονη ασάφεια στην αποτύπωση του σχεδιασμού, της στοχοθεσίας και των δεσμεύσεων των εταιρειών με άξονα την αειφορία. Έχει διατυπωθεί επίσης και η μετριοπαθής άποψη ότι στην εταιρική επικοινωνία η διάσταση μεταξύ λόγων και πράξεων σε θέματα αειφορίας είναι ουσιαστικά ωφέλιμη (και ως εκ τούτου θα πρέπει να γίνεται αποδεκτή) καθώς μεγαλεπήβολοι ισχυρισμοί από μια επιχείρηση για την προαγωγή της αειφορίας μπορούν να αποτελέσουν δυνητικά ισχυρό κίνητρο ώστε να επιδιώξει την υλοποίησή τους μελλοντικά.</w:t>
      </w:r>
    </w:p>
    <w:p w:rsidR="00831A01" w:rsidRPr="00D43AC0" w:rsidRDefault="00831A01" w:rsidP="0047330E">
      <w:pPr>
        <w:spacing w:after="0" w:line="360" w:lineRule="auto"/>
        <w:jc w:val="both"/>
        <w:rPr>
          <w:sz w:val="24"/>
          <w:szCs w:val="24"/>
        </w:rPr>
      </w:pPr>
      <w:r w:rsidRPr="00D43AC0">
        <w:rPr>
          <w:sz w:val="24"/>
          <w:szCs w:val="24"/>
        </w:rPr>
        <w:t xml:space="preserve"> Ένας σημαντικός αριθμός ακαδημαϊκών μελετών υποδεικνύει ότι οι επιχειρήσεις αναπτύσσουν εθελοντικές πρακτικές περιβαλλοντικού και κοινωνικού απολογισμού </w:t>
      </w:r>
      <w:r w:rsidRPr="00D43AC0">
        <w:rPr>
          <w:sz w:val="24"/>
          <w:szCs w:val="24"/>
        </w:rPr>
        <w:lastRenderedPageBreak/>
        <w:t xml:space="preserve">πρωτίστως για να διασφαλίσουν τη θέση τους στον κλάδο που δραστηριοποιούνται και να ενισχύσουν τη δημόσια εικόνα τους. Σχετική έρευνα του Πανεπιστημίου Λαβάλ του Καναδά επικεντρώθηκε σε 23 απολογισμούς αειφορίας μεγάλων εταιρειών των κλάδων της ενέργειας και εξόρυξης με επίπεδο εφαρμογής των Οδηγιών GRI ‘A’ και ‘Α+’. Η εξέταση των απολογισμών έδειξε κενά στην παρουσίαση της επίδοσης κατά την περίοδο αναφοράς του απολογισμού καθώς οι εταιρείες έδιναν υπέρμετρη έμφαση σε αποτελέσματα θετικής επίδοσής τους, ενώ η αναφορά σε αρνητικές διαστάσεις επίδοσης ή συναφή γεγονότα (δημοσιευμένα στον Τύπο ή άλλες πηγές ενημέρωσης) ήταν μηδαμινή έως ελάχιστη. Η έρευνα έδειξε ότι μόλις ένα 10% ενός συνόλου σημαντικών – αλλά ‘ευαίσθητων’ – πληροφοριών επίδοσης αποτυπώνονταν με σαφήνεια στους απολογισμούς, υπονομεύοντας την αξιοπιστία τους καθώς ιδεατά θα έπρεπε “να αντανακλώνται τόσο θετικές όσο και αρνητικές διαστάσεις της εταιρικής επίδοσης ώστε να επιτρέπεται μια τεκμηριωμένη αξιολόγηση της συνολικής επίδοσης του οργανισμού” - βλ. βασική αρχή της ισορροπίας (balance) σύμφωνα με το GRI. </w:t>
      </w:r>
    </w:p>
    <w:p w:rsidR="00831A01" w:rsidRPr="00D43AC0" w:rsidRDefault="00831A01" w:rsidP="0047330E">
      <w:pPr>
        <w:spacing w:after="0" w:line="360" w:lineRule="auto"/>
        <w:jc w:val="both"/>
        <w:rPr>
          <w:sz w:val="24"/>
          <w:szCs w:val="24"/>
        </w:rPr>
      </w:pPr>
      <w:r w:rsidRPr="00D43AC0">
        <w:rPr>
          <w:sz w:val="24"/>
          <w:szCs w:val="24"/>
        </w:rPr>
        <w:t>Ένας απολογισμός αειφορίας που θα έχει αξία και όφελος τόσο για την ίδια την εταιρεία όσο και για τα ενδιαφερόμενα μέρη της προϋποθέτει ότι δεν θα υπάρχουν αποκλίσεις μεταξύ ‘λόγων’ και ‘έργων’ καθώς και ότι οι πληροφορίες είναι αξιόπιστες. Η δημοσίευση ουσιαστικών, ‘αρνητικών’ στοιχείων επίδοσης για την περίοδο που καλύπτεται στον απολογισμό δεν συνεπάγεται υπονόμευση της φήμης της επιχείρησης – αντιθέτως, συμβάλλει στην αξιοπιστία τέτοιων πρακτικών λογοδοσίας αλλά και στην ουσιαστική ενσωμάτωση των θεμελιωδών αρχών της πληρότητας και ισορροπίας στην λογοδοσία. Μάλιστα, συμπεριλαμβάνοντας κρίσιμες ομάδες ενδιαφέροντος (</w:t>
      </w:r>
      <w:r w:rsidRPr="00D43AC0">
        <w:rPr>
          <w:sz w:val="24"/>
          <w:szCs w:val="24"/>
          <w:lang w:val="en-US"/>
        </w:rPr>
        <w:t>stakeholders</w:t>
      </w:r>
      <w:r w:rsidRPr="00D43AC0">
        <w:rPr>
          <w:sz w:val="24"/>
          <w:szCs w:val="24"/>
        </w:rPr>
        <w:t>) στον προσδιορισμό των ουσιαστικών θεμάτων που θα καλύπτει ο απολογισμός αποτελεί καθοριστική παράμετρο της ποιότητας και διαφάνειας των παρεχομένων πληροφοριών.</w:t>
      </w:r>
    </w:p>
    <w:p w:rsidR="00831A01" w:rsidRPr="00D43AC0" w:rsidRDefault="00831A01" w:rsidP="0047330E">
      <w:pPr>
        <w:spacing w:after="0" w:line="360" w:lineRule="auto"/>
        <w:jc w:val="both"/>
        <w:rPr>
          <w:sz w:val="24"/>
          <w:szCs w:val="24"/>
        </w:rPr>
      </w:pPr>
      <w:r w:rsidRPr="00D43AC0">
        <w:rPr>
          <w:sz w:val="24"/>
          <w:szCs w:val="24"/>
        </w:rPr>
        <w:t>Πως όμως είναι δυνατόν να περιμένουμε από μια εταιρεία να λογοδοτεί με απόλυτη πληρότητα αν το υπάρχον θεσμικό περιβάλλον, οι συναφείς συσχετισμοί αυτού αλλά και τα ενδιαφερόμενα μέρη της επιχείρησης δε συμβάλλουν ενεργά προς αυτή την κατεύθυνση; Επιβραβεύονται οι ‘περισσότερο διαφανείς’ επιχειρήσεις από την πολιτεία, την ευρύτερη κοινωνία ή το καταναλωτικό κοινό/την αγορά; Ανταποκρίνονται τα ενδιαφερόμενα μέρη (</w:t>
      </w:r>
      <w:r w:rsidRPr="00D43AC0">
        <w:rPr>
          <w:sz w:val="24"/>
          <w:szCs w:val="24"/>
          <w:lang w:val="en-US"/>
        </w:rPr>
        <w:t>stakeholders</w:t>
      </w:r>
      <w:r w:rsidRPr="00D43AC0">
        <w:rPr>
          <w:sz w:val="24"/>
          <w:szCs w:val="24"/>
        </w:rPr>
        <w:t xml:space="preserve">) στο ‘κάλεσμα’ των </w:t>
      </w:r>
      <w:r w:rsidRPr="00D43AC0">
        <w:rPr>
          <w:sz w:val="24"/>
          <w:szCs w:val="24"/>
        </w:rPr>
        <w:lastRenderedPageBreak/>
        <w:t xml:space="preserve">επιχειρήσεων για διάλογο και διαβούλευση; Και βλέποντας το ζήτημα στη ρίζα του: τα νέα και μελλοντικά στελέχη μια εταιρείας λαμβάνουν την κατάλληλη εκπαίδευση (ακαδημαϊκή και όχι μόνο) σε θέματα εταιρικής υπευθυνότητας και οργανωσιακής ηθικής; Ερωτήματα προς προβληματισμό που θα πρέπει να ληφθούν υπόψη στη χάραξη δημόσιας πολιτικής για την εταιρική μη-χρηματοοικονομική λογοδοσία αλλά και από το μεμονωμένο επιχειρηματικό οργανισμό που θέλει να αναπτύξει τέτοιες πρακτικές απολογισμού. Με τη δημοσίευση πληροφοριών εταιρικής μη-χρηματοοικονομικής/αειφόρου επίδοσης να βρίσκονται σε κομβικό σημείο στην Ευρωπαϊκή Ένωση και τις επιμέρους χώρες να αναπτύσσουν την εθνική τους στρατηγική προς αυτή την κατεύθυνση,  αποτελεί </w:t>
      </w:r>
      <w:r w:rsidR="005C6054" w:rsidRPr="00D43AC0">
        <w:rPr>
          <w:sz w:val="24"/>
          <w:szCs w:val="24"/>
        </w:rPr>
        <w:t>ουσιαστική πρόκληση</w:t>
      </w:r>
      <w:r w:rsidRPr="00D43AC0">
        <w:rPr>
          <w:sz w:val="24"/>
          <w:szCs w:val="24"/>
        </w:rPr>
        <w:t xml:space="preserve"> οι απολογισμοί που δημοσιεύονται να αποδίδουν τα μέγιστα οφέλη για την ίδια την επιχείρηση και το ευρύτερο κοινωνικό σύνολο.</w:t>
      </w:r>
    </w:p>
    <w:p w:rsidR="00AC0DFE" w:rsidRPr="00D43AC0" w:rsidRDefault="00AC0DFE" w:rsidP="0047330E">
      <w:pPr>
        <w:spacing w:line="360" w:lineRule="auto"/>
        <w:jc w:val="both"/>
        <w:rPr>
          <w:b/>
          <w:sz w:val="24"/>
          <w:szCs w:val="24"/>
        </w:rPr>
      </w:pPr>
    </w:p>
    <w:p w:rsidR="00011EEF" w:rsidRDefault="00011EEF" w:rsidP="00D43AC0">
      <w:pPr>
        <w:tabs>
          <w:tab w:val="left" w:pos="2257"/>
        </w:tabs>
        <w:spacing w:line="360" w:lineRule="auto"/>
        <w:jc w:val="both"/>
        <w:rPr>
          <w:b/>
          <w:sz w:val="24"/>
          <w:szCs w:val="24"/>
        </w:rPr>
      </w:pPr>
    </w:p>
    <w:p w:rsidR="008B34EB" w:rsidRDefault="008B34EB" w:rsidP="00D43AC0">
      <w:pPr>
        <w:tabs>
          <w:tab w:val="left" w:pos="2257"/>
        </w:tabs>
        <w:spacing w:line="360" w:lineRule="auto"/>
        <w:jc w:val="both"/>
        <w:rPr>
          <w:b/>
          <w:sz w:val="24"/>
          <w:szCs w:val="24"/>
        </w:rPr>
      </w:pPr>
    </w:p>
    <w:p w:rsidR="008B34EB" w:rsidRDefault="008B34EB" w:rsidP="00D43AC0">
      <w:pPr>
        <w:tabs>
          <w:tab w:val="left" w:pos="2257"/>
        </w:tabs>
        <w:spacing w:line="360" w:lineRule="auto"/>
        <w:jc w:val="both"/>
        <w:rPr>
          <w:b/>
          <w:sz w:val="24"/>
          <w:szCs w:val="24"/>
        </w:rPr>
      </w:pPr>
    </w:p>
    <w:p w:rsidR="008B34EB" w:rsidRDefault="008B34EB" w:rsidP="00D43AC0">
      <w:pPr>
        <w:tabs>
          <w:tab w:val="left" w:pos="2257"/>
        </w:tabs>
        <w:spacing w:line="360" w:lineRule="auto"/>
        <w:jc w:val="both"/>
        <w:rPr>
          <w:b/>
          <w:sz w:val="24"/>
          <w:szCs w:val="24"/>
        </w:rPr>
      </w:pPr>
    </w:p>
    <w:p w:rsidR="008B34EB" w:rsidRDefault="008B34EB" w:rsidP="00D43AC0">
      <w:pPr>
        <w:tabs>
          <w:tab w:val="left" w:pos="2257"/>
        </w:tabs>
        <w:spacing w:line="360" w:lineRule="auto"/>
        <w:jc w:val="both"/>
        <w:rPr>
          <w:b/>
          <w:sz w:val="24"/>
          <w:szCs w:val="24"/>
        </w:rPr>
      </w:pPr>
    </w:p>
    <w:p w:rsidR="008B34EB" w:rsidRDefault="008B34EB" w:rsidP="00D43AC0">
      <w:pPr>
        <w:tabs>
          <w:tab w:val="left" w:pos="2257"/>
        </w:tabs>
        <w:spacing w:line="360" w:lineRule="auto"/>
        <w:jc w:val="both"/>
        <w:rPr>
          <w:b/>
          <w:sz w:val="24"/>
          <w:szCs w:val="24"/>
        </w:rPr>
      </w:pPr>
    </w:p>
    <w:p w:rsidR="008756CF" w:rsidRDefault="008756CF" w:rsidP="00D43AC0">
      <w:pPr>
        <w:tabs>
          <w:tab w:val="left" w:pos="2257"/>
        </w:tabs>
        <w:spacing w:line="360" w:lineRule="auto"/>
        <w:jc w:val="both"/>
        <w:rPr>
          <w:b/>
          <w:sz w:val="24"/>
          <w:szCs w:val="24"/>
        </w:rPr>
      </w:pPr>
    </w:p>
    <w:p w:rsidR="008756CF" w:rsidRDefault="008756CF" w:rsidP="00D43AC0">
      <w:pPr>
        <w:tabs>
          <w:tab w:val="left" w:pos="2257"/>
        </w:tabs>
        <w:spacing w:line="360" w:lineRule="auto"/>
        <w:jc w:val="both"/>
        <w:rPr>
          <w:b/>
          <w:sz w:val="24"/>
          <w:szCs w:val="24"/>
        </w:rPr>
      </w:pPr>
    </w:p>
    <w:p w:rsidR="008756CF" w:rsidRDefault="008756CF" w:rsidP="00D43AC0">
      <w:pPr>
        <w:tabs>
          <w:tab w:val="left" w:pos="2257"/>
        </w:tabs>
        <w:spacing w:line="360" w:lineRule="auto"/>
        <w:jc w:val="both"/>
        <w:rPr>
          <w:b/>
          <w:sz w:val="24"/>
          <w:szCs w:val="24"/>
        </w:rPr>
      </w:pPr>
    </w:p>
    <w:p w:rsidR="008756CF" w:rsidRDefault="008756CF" w:rsidP="00D43AC0">
      <w:pPr>
        <w:tabs>
          <w:tab w:val="left" w:pos="2257"/>
        </w:tabs>
        <w:spacing w:line="360" w:lineRule="auto"/>
        <w:jc w:val="both"/>
        <w:rPr>
          <w:b/>
          <w:sz w:val="24"/>
          <w:szCs w:val="24"/>
        </w:rPr>
      </w:pPr>
    </w:p>
    <w:p w:rsidR="008756CF" w:rsidRDefault="008756CF" w:rsidP="00D43AC0">
      <w:pPr>
        <w:tabs>
          <w:tab w:val="left" w:pos="2257"/>
        </w:tabs>
        <w:spacing w:line="360" w:lineRule="auto"/>
        <w:jc w:val="both"/>
        <w:rPr>
          <w:b/>
          <w:sz w:val="24"/>
          <w:szCs w:val="24"/>
        </w:rPr>
      </w:pPr>
    </w:p>
    <w:p w:rsidR="008B34EB" w:rsidRDefault="008B34EB" w:rsidP="00D43AC0">
      <w:pPr>
        <w:tabs>
          <w:tab w:val="left" w:pos="2257"/>
        </w:tabs>
        <w:spacing w:line="360" w:lineRule="auto"/>
        <w:jc w:val="both"/>
        <w:rPr>
          <w:b/>
          <w:sz w:val="24"/>
          <w:szCs w:val="24"/>
        </w:rPr>
      </w:pPr>
    </w:p>
    <w:p w:rsidR="008B34EB" w:rsidRDefault="008B34EB" w:rsidP="00D43AC0">
      <w:pPr>
        <w:tabs>
          <w:tab w:val="left" w:pos="2257"/>
        </w:tabs>
        <w:spacing w:line="360" w:lineRule="auto"/>
        <w:jc w:val="both"/>
        <w:rPr>
          <w:b/>
          <w:sz w:val="24"/>
          <w:szCs w:val="24"/>
        </w:rPr>
      </w:pPr>
    </w:p>
    <w:p w:rsidR="009C15E8" w:rsidRPr="00D43AC0" w:rsidRDefault="009C15E8" w:rsidP="00D43AC0">
      <w:pPr>
        <w:tabs>
          <w:tab w:val="left" w:pos="2257"/>
        </w:tabs>
        <w:spacing w:line="360" w:lineRule="auto"/>
        <w:jc w:val="both"/>
        <w:rPr>
          <w:b/>
          <w:sz w:val="24"/>
          <w:szCs w:val="24"/>
        </w:rPr>
      </w:pPr>
      <w:r w:rsidRPr="00D43AC0">
        <w:rPr>
          <w:b/>
          <w:sz w:val="24"/>
          <w:szCs w:val="24"/>
        </w:rPr>
        <w:lastRenderedPageBreak/>
        <w:t xml:space="preserve">Πρωτοβουλίες στον ελληνικό ιδιωτικό τομέα </w:t>
      </w:r>
      <w:r w:rsidR="00AA554F" w:rsidRPr="00D43AC0">
        <w:rPr>
          <w:b/>
          <w:sz w:val="24"/>
          <w:szCs w:val="24"/>
        </w:rPr>
        <w:t>&amp; υιοθέτηση διεθνών αρχών, πρακτικών και προτύπων</w:t>
      </w:r>
    </w:p>
    <w:p w:rsidR="0047330E" w:rsidRPr="00D43AC0" w:rsidRDefault="009C15E8" w:rsidP="0047330E">
      <w:pPr>
        <w:spacing w:line="360" w:lineRule="auto"/>
        <w:jc w:val="both"/>
        <w:rPr>
          <w:sz w:val="24"/>
          <w:szCs w:val="24"/>
        </w:rPr>
      </w:pPr>
      <w:r w:rsidRPr="00D43AC0">
        <w:rPr>
          <w:sz w:val="24"/>
          <w:szCs w:val="24"/>
        </w:rPr>
        <w:t>Στην Ελλάδα ορόσημο για την διάδοση της ΕΚΕ ως προσέγγιση της επιχειρηματικής λειτουργίας στάθηκε τον Ιούνιο του 2000 η ίδρυση του Ελληνικού Δικτύου για την Εταιρική Κοινωνική Ευθύνη, μέλος του αντίστοιχου Ευρωπαϊκού Δικτύου (CSR Europe). Αποστολή του Δικτύου είναι η προώθηση της ΕΚΕ στην εγχώρια επιχειρηματική κοινότητα και την ελληνική κοινωνία με απώτερο στόχο την διάδοση και ενημέρωση σχετικά με τις επιχειρηματικές πρακτικές που συμβάλλουν σε μια πιο βιώσιμη ανάπτυξη. Από τις 13 εταιρείες και τους 3 επιχειρηματικούς φορείς που συνυπέγραψαν την ιδρυτική του διακήρυξη, σήμερα το Δίκτυο απαριθμεί 1</w:t>
      </w:r>
      <w:r w:rsidR="0047330E" w:rsidRPr="00D43AC0">
        <w:rPr>
          <w:sz w:val="24"/>
          <w:szCs w:val="24"/>
        </w:rPr>
        <w:t>2</w:t>
      </w:r>
      <w:r w:rsidRPr="00D43AC0">
        <w:rPr>
          <w:sz w:val="24"/>
          <w:szCs w:val="24"/>
        </w:rPr>
        <w:t xml:space="preserve">0 βασικά μέλη, γεγονός αρκετά ενθαρρυντικό για την διάδοση της κοινωνικά και περιβαλλοντικά υπεύθυνης επιχειρηματικότητας σε εγχώριο επίπεδο. </w:t>
      </w:r>
    </w:p>
    <w:p w:rsidR="009C15E8" w:rsidRPr="00D43AC0" w:rsidRDefault="009C15E8" w:rsidP="0047330E">
      <w:pPr>
        <w:spacing w:line="360" w:lineRule="auto"/>
        <w:jc w:val="both"/>
        <w:rPr>
          <w:sz w:val="24"/>
          <w:szCs w:val="24"/>
        </w:rPr>
      </w:pPr>
      <w:r w:rsidRPr="00D43AC0">
        <w:rPr>
          <w:sz w:val="24"/>
          <w:szCs w:val="24"/>
        </w:rPr>
        <w:t xml:space="preserve">Πιο πρόσφατα, ιδρύθηκε το Συμβούλιο για τη Βιώσιμη Ανάπτυξη από το  Σύνδεσμο Επιχειρήσεων και Βιομηχανιών (ΣΕΒ), μέλος του Παγκόσμιου Επιχειρηματικού Συμβουλίου για τη Βιώσιμη Ανάπτυξη (World Business Council for Sustainable Development, WBCSD) με σκοπό τα 31 ιδρυτικά του μέλη-εταιρείες να συμβάλλουν στην ‘προώθηση της βιώσιμης ανάπτυξης στην ελληνική επιχειρηματική πραγματικότητα’. Ταυτόχρονα, στη χώρα μας εταιρείες συμβούλων επιχειρήσεων που παραδοσιακά προσέφεραν χρηματοοικονομικές υπηρεσίες έχουν επεκτείνει τη δραστηριότητά τους και στο πεδίο της ΕΚΕ, ενώ νέοι συναφείς οργανισμοί συμβούλων έχουν συσταθεί με αποκλειστικό αντικείμενο την ολοκληρωμένη παροχή λύσεων σε ζητήματα μη-χρηματοοικονομικής φύσεως (ΕΚΕ). </w:t>
      </w:r>
    </w:p>
    <w:p w:rsidR="009C15E8" w:rsidRPr="00D43AC0" w:rsidRDefault="00665D59" w:rsidP="008B34EB">
      <w:pPr>
        <w:spacing w:line="360" w:lineRule="auto"/>
        <w:jc w:val="center"/>
        <w:rPr>
          <w:sz w:val="24"/>
          <w:szCs w:val="24"/>
        </w:rPr>
      </w:pPr>
      <w:r w:rsidRPr="00665D59">
        <w:rPr>
          <w:noProof/>
          <w:sz w:val="24"/>
          <w:szCs w:val="24"/>
          <w:lang w:eastAsia="el-GR"/>
        </w:rPr>
        <w:lastRenderedPageBreak/>
        <w:drawing>
          <wp:inline distT="0" distB="0" distL="0" distR="0">
            <wp:extent cx="4549775" cy="2647666"/>
            <wp:effectExtent l="19050" t="0" r="22225" b="284"/>
            <wp:docPr id="5"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15E8" w:rsidRPr="006335F9" w:rsidRDefault="006335F9" w:rsidP="00171F1E">
      <w:pPr>
        <w:spacing w:line="360" w:lineRule="auto"/>
        <w:jc w:val="center"/>
        <w:rPr>
          <w:i/>
        </w:rPr>
      </w:pPr>
      <w:r w:rsidRPr="006335F9">
        <w:rPr>
          <w:i/>
        </w:rPr>
        <w:t xml:space="preserve">Σχήμα 2: </w:t>
      </w:r>
      <w:r w:rsidR="009C15E8" w:rsidRPr="006335F9">
        <w:rPr>
          <w:i/>
        </w:rPr>
        <w:t>Η διαχρονική αύξηση των μελών του Ελληνικού Δικτύου ΕΚΕ</w:t>
      </w:r>
    </w:p>
    <w:p w:rsidR="00AA554F" w:rsidRPr="00D43AC0" w:rsidRDefault="00AA554F" w:rsidP="00AA554F">
      <w:pPr>
        <w:spacing w:line="360" w:lineRule="auto"/>
        <w:jc w:val="both"/>
        <w:rPr>
          <w:sz w:val="24"/>
          <w:szCs w:val="24"/>
        </w:rPr>
      </w:pPr>
      <w:r w:rsidRPr="00D43AC0">
        <w:rPr>
          <w:sz w:val="24"/>
          <w:szCs w:val="24"/>
        </w:rPr>
        <w:t xml:space="preserve">Στο διάστημα 2005-2014 τα αποτελέσματα της ετήσιας έρευνας του ΕΕΠΠΔ έχουν αναδείξει κάποια ενθαρρυντικά στοιχεία για τις πρακτικές των ελληνικών επιχειρήσεων: ο αριθμός των ελληνικών επιχειρήσεων που δημοσιεύουν έκθεση ΕΚΕ έχει υπερδιπλασιαστεί, οι απολογισμοί έχουν γίνει πιο περιεκτικοί και η υιοθέτηση διεθνών αρχών, οδηγιών και προτύπων έχει ενσωματωθεί στις πρακτικές κατάρτισης των περισσοτέρων εταιρειών (το 2010, άνω του 80% του δείγματος χρησιμοποιούσε το πλαίσιο </w:t>
      </w:r>
      <w:r w:rsidRPr="00D43AC0">
        <w:rPr>
          <w:sz w:val="24"/>
          <w:szCs w:val="24"/>
          <w:lang w:val="en-US"/>
        </w:rPr>
        <w:t>GRI</w:t>
      </w:r>
      <w:r w:rsidRPr="00D43AC0">
        <w:rPr>
          <w:sz w:val="24"/>
          <w:szCs w:val="24"/>
        </w:rPr>
        <w:t xml:space="preserve"> για την οργάνωση της έκθεσης και την αποτύπωση της επίδοσης). Ωστόσο, η </w:t>
      </w:r>
      <w:r w:rsidR="006335F9">
        <w:rPr>
          <w:sz w:val="24"/>
          <w:szCs w:val="24"/>
        </w:rPr>
        <w:t>εξωτερική επαλήθευση</w:t>
      </w:r>
      <w:r w:rsidRPr="00D43AC0">
        <w:rPr>
          <w:sz w:val="24"/>
          <w:szCs w:val="24"/>
        </w:rPr>
        <w:t xml:space="preserve"> των πληροφοριών της έκθεσης από ανεξάρτητο εξωτερικό φορέα δεν αποτελεί ευρέως διαδεδομένη αποτελεί πρακτική καθώς την εφαρμόζει ένα μικρό μόνο ποσοστό εταιρειών, κάτι που εν δυνάμει υπονομεύει την αξιοπιστία των δημοσιευμένων στοιχείων και εντείνει το σκεπτικισμό επιμέρους κοινωνικών εταίρων σχετικά με τα κίνητρα και τους στόχους της επιχείρησης από τη δημοσίευση ενός τέτοιου απολογισμού. </w:t>
      </w:r>
    </w:p>
    <w:p w:rsidR="00AA554F" w:rsidRDefault="00AA554F" w:rsidP="00AA554F">
      <w:pPr>
        <w:spacing w:line="360" w:lineRule="auto"/>
        <w:jc w:val="both"/>
        <w:rPr>
          <w:sz w:val="24"/>
          <w:szCs w:val="24"/>
        </w:rPr>
      </w:pPr>
      <w:r w:rsidRPr="00D43AC0">
        <w:rPr>
          <w:sz w:val="24"/>
          <w:szCs w:val="24"/>
        </w:rPr>
        <w:t xml:space="preserve">Από 16 απολογισμούς που συμπεριλήφθηκαν στην πρώτη μελέτη του 2005, οι ελληνικές επιχειρήσεις που δημοσιεύουν σε τακτική βάση απολογισμό ΕΚΕ πλέον έχουν πλέον υπερδιπλασιαστεί. Ομοίως, ο αριθμός των σελίδων των εκθέσεων (ως ποσοτική ένδειξη των πληροφοριών που διαθέτουν στον αναγνώστη) έχει αυξηθεί σημαντικά: από 40 περίπου σελίδες κατά μέσο όρο, σε απολογισμούς άνω των 70 σελίδων. Παράλληλα, ενώ η υιοθέτηση και εφαρμογή διεθνών αρχών και προτύπων </w:t>
      </w:r>
      <w:r w:rsidRPr="00D43AC0">
        <w:rPr>
          <w:sz w:val="24"/>
          <w:szCs w:val="24"/>
        </w:rPr>
        <w:lastRenderedPageBreak/>
        <w:t>ΕΚΕ στους απολογισμούς περιοριζόταν το 2005 σε λιγότερες από το 40% του δείγματος, πλέον οι επιχειρήσεις που χρησιμοποιούν έστω ένα από αυτά (GRI, Global Compact COP, AA1000, ISO26000) αγγίζει το ποσοστό άνω του 85%. Ο αριθμός των δεικτών επίδοσης έχει επίσης αυξηθεί αξιοσημείωτα και από τους περίπου 10 δείκτες (ποσοτικούς ή/και ποιοτικούς) που περιέχονταν στους πρώτους απολογισμούς, οι επιχειρήσεις καταρτίζουν και παραθέτουν σχεδόν τους διπλάσιους. Μάλιστα, είναι θετικό ότι τα τελευταία τρία χρόνια σημαντικά βήματα έχουν γίνει στο πεδίο της ουσιαστικότητας των πληροφοριών που δημοσιεύονται στους απολογισμούς, καθώς έχει ανέλθει ο αριθμός των επιχειρήσεων που με τρόπο συστηματικό και εύστοχο επιλέγουν να δημοσιεύσουν στοιχεία που αναφέρονται στα βασικότερα θέματα ΕΚΕ που αφορούν τη λειτουργία τους.</w:t>
      </w:r>
    </w:p>
    <w:p w:rsidR="00AA554F" w:rsidRPr="00D43AC0" w:rsidRDefault="00AA554F" w:rsidP="00AA554F">
      <w:pPr>
        <w:spacing w:line="360" w:lineRule="auto"/>
        <w:ind w:left="-709" w:right="-1333"/>
        <w:jc w:val="both"/>
        <w:rPr>
          <w:sz w:val="24"/>
          <w:szCs w:val="24"/>
        </w:rPr>
      </w:pPr>
      <w:r w:rsidRPr="00D43AC0">
        <w:rPr>
          <w:noProof/>
          <w:sz w:val="24"/>
          <w:szCs w:val="24"/>
          <w:lang w:eastAsia="el-GR"/>
        </w:rPr>
        <w:drawing>
          <wp:inline distT="0" distB="0" distL="0" distR="0">
            <wp:extent cx="3243134" cy="2310714"/>
            <wp:effectExtent l="19050" t="0" r="14416" b="0"/>
            <wp:docPr id="2"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43AC0">
        <w:rPr>
          <w:noProof/>
          <w:sz w:val="24"/>
          <w:szCs w:val="24"/>
          <w:lang w:eastAsia="el-GR"/>
        </w:rPr>
        <w:drawing>
          <wp:inline distT="0" distB="0" distL="0" distR="0">
            <wp:extent cx="3206063" cy="2310714"/>
            <wp:effectExtent l="19050" t="0" r="13387" b="0"/>
            <wp:docPr id="11"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34EB" w:rsidRDefault="00AA554F" w:rsidP="00AA554F">
      <w:pPr>
        <w:spacing w:line="360" w:lineRule="auto"/>
        <w:ind w:left="-709" w:right="-1333"/>
        <w:jc w:val="both"/>
        <w:rPr>
          <w:sz w:val="24"/>
          <w:szCs w:val="24"/>
        </w:rPr>
      </w:pPr>
      <w:r w:rsidRPr="00D43AC0">
        <w:rPr>
          <w:noProof/>
          <w:sz w:val="24"/>
          <w:szCs w:val="24"/>
          <w:lang w:eastAsia="el-GR"/>
        </w:rPr>
        <w:drawing>
          <wp:inline distT="0" distB="0" distL="0" distR="0">
            <wp:extent cx="3200400" cy="2310078"/>
            <wp:effectExtent l="19050" t="0" r="19050" b="0"/>
            <wp:docPr id="13"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43AC0">
        <w:rPr>
          <w:noProof/>
          <w:sz w:val="24"/>
          <w:szCs w:val="24"/>
          <w:lang w:eastAsia="el-GR"/>
        </w:rPr>
        <w:drawing>
          <wp:inline distT="0" distB="0" distL="0" distR="0">
            <wp:extent cx="3279226" cy="2310713"/>
            <wp:effectExtent l="19050" t="0" r="16424" b="0"/>
            <wp:docPr id="14"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554F" w:rsidRPr="006335F9" w:rsidRDefault="006335F9" w:rsidP="006335F9">
      <w:pPr>
        <w:ind w:left="1418" w:hanging="1418"/>
        <w:jc w:val="both"/>
      </w:pPr>
      <w:r>
        <w:t xml:space="preserve">Σχήματα 3-6: </w:t>
      </w:r>
      <w:r w:rsidR="008B34EB" w:rsidRPr="006335F9">
        <w:t>Η υιοθέτηση διεθνών αρχών και βέλτιστων πρακτικών στη δημοσίευση απολογισμών ΕΚΕ στην Ελλάδα</w:t>
      </w:r>
      <w:r w:rsidR="00665D59" w:rsidRPr="006335F9">
        <w:t xml:space="preserve"> για το 2013</w:t>
      </w:r>
    </w:p>
    <w:p w:rsidR="009C15E8" w:rsidRPr="00D43AC0" w:rsidRDefault="009C15E8" w:rsidP="0047330E">
      <w:pPr>
        <w:tabs>
          <w:tab w:val="left" w:pos="5540"/>
        </w:tabs>
        <w:spacing w:line="360" w:lineRule="auto"/>
        <w:jc w:val="both"/>
        <w:rPr>
          <w:sz w:val="24"/>
          <w:szCs w:val="24"/>
        </w:rPr>
      </w:pPr>
      <w:r w:rsidRPr="00D43AC0">
        <w:rPr>
          <w:sz w:val="24"/>
          <w:szCs w:val="24"/>
        </w:rPr>
        <w:lastRenderedPageBreak/>
        <w:t xml:space="preserve">Η δραστηριοποίηση της εγχώριας επιχειρηματικής κοινότητας και η κινητικότητα στην εγχώρια αγορά σχετικών υπηρεσιών προς την ανάπτυξη και εφαρμογή πρακτικών ΕΚΕ, διαφαίνεται και από τη σημαντική αύξηση των ελληνικών συμμετοχών στο Οικουμενικό Σύμφωνο του Οργανισμού Ηνωμένων Εθνών – ενός συνόλου δέκα βασικών αρχών κοινωνικά και περιβαλλοντικά υπεύθυνης επιχειρηματικής λειτουργίας που καλούνται οι εταιρείες ανά τον κόσμο να υιοθετήσουν. Ενώ το 2007 13 ελληνικές εταιρείες και φορείς ήταν αυτές που είχαν προσυπογράψει τη συμμόρφωσή τους στις δέκα αρχές του Συμφώνου, </w:t>
      </w:r>
      <w:r w:rsidR="00D6331C">
        <w:rPr>
          <w:sz w:val="24"/>
          <w:szCs w:val="24"/>
        </w:rPr>
        <w:t>έως τα τέλη</w:t>
      </w:r>
      <w:r w:rsidRPr="00D43AC0">
        <w:rPr>
          <w:sz w:val="24"/>
          <w:szCs w:val="24"/>
        </w:rPr>
        <w:t xml:space="preserve"> του 20</w:t>
      </w:r>
      <w:r w:rsidR="0047330E" w:rsidRPr="00D43AC0">
        <w:rPr>
          <w:sz w:val="24"/>
          <w:szCs w:val="24"/>
        </w:rPr>
        <w:t>14</w:t>
      </w:r>
      <w:r w:rsidRPr="00D43AC0">
        <w:rPr>
          <w:sz w:val="24"/>
          <w:szCs w:val="24"/>
        </w:rPr>
        <w:t xml:space="preserve"> ο αριθμός αυτός ανήλθε σε </w:t>
      </w:r>
      <w:r w:rsidRPr="00FA60C1">
        <w:rPr>
          <w:sz w:val="24"/>
          <w:szCs w:val="24"/>
        </w:rPr>
        <w:t>7</w:t>
      </w:r>
      <w:r w:rsidR="00FA60C1">
        <w:rPr>
          <w:sz w:val="24"/>
          <w:szCs w:val="24"/>
        </w:rPr>
        <w:t>5</w:t>
      </w:r>
      <w:r w:rsidR="00D6331C">
        <w:rPr>
          <w:sz w:val="24"/>
          <w:szCs w:val="24"/>
        </w:rPr>
        <w:t xml:space="preserve"> συνολικά οργανισμούς</w:t>
      </w:r>
      <w:r w:rsidRPr="00D43AC0">
        <w:rPr>
          <w:sz w:val="24"/>
          <w:szCs w:val="24"/>
        </w:rPr>
        <w:t>. Ωστόσο, μόλις το ένα τρίτο</w:t>
      </w:r>
      <w:r w:rsidR="00FA60C1">
        <w:rPr>
          <w:sz w:val="24"/>
          <w:szCs w:val="24"/>
        </w:rPr>
        <w:t xml:space="preserve"> περίπου</w:t>
      </w:r>
      <w:r w:rsidRPr="00D43AC0">
        <w:rPr>
          <w:sz w:val="24"/>
          <w:szCs w:val="24"/>
        </w:rPr>
        <w:t xml:space="preserve"> του αριθμού αυτών των </w:t>
      </w:r>
      <w:r w:rsidR="00FA60C1">
        <w:rPr>
          <w:sz w:val="24"/>
          <w:szCs w:val="24"/>
        </w:rPr>
        <w:t>οργανισμών</w:t>
      </w:r>
      <w:r w:rsidRPr="00D43AC0">
        <w:rPr>
          <w:sz w:val="24"/>
          <w:szCs w:val="24"/>
        </w:rPr>
        <w:t xml:space="preserve"> δημοσίευσε το 20</w:t>
      </w:r>
      <w:r w:rsidR="00AA554F" w:rsidRPr="00FA60C1">
        <w:rPr>
          <w:sz w:val="24"/>
          <w:szCs w:val="24"/>
        </w:rPr>
        <w:t>13</w:t>
      </w:r>
      <w:r w:rsidRPr="00D43AC0">
        <w:rPr>
          <w:sz w:val="24"/>
          <w:szCs w:val="24"/>
        </w:rPr>
        <w:t xml:space="preserve"> μια αυτόνομη έκθεση εταιρικής υπευθυνότητας, ένα απολογισμό δηλαδή που αποτυπώνει τα στοιχεία κοινωνικής και περιβαλλοντικής επίδοσης και τα αντίστοιχα προγράμματα – πολιτικές που προωθεί ο οργανισμός μέσα από τη σφαίρα λειτουργίας του. </w:t>
      </w:r>
      <w:r w:rsidR="00FA60C1">
        <w:rPr>
          <w:sz w:val="24"/>
          <w:szCs w:val="24"/>
        </w:rPr>
        <w:t>Ωστόσο,</w:t>
      </w:r>
      <w:r w:rsidRPr="00D43AC0">
        <w:rPr>
          <w:sz w:val="24"/>
          <w:szCs w:val="24"/>
        </w:rPr>
        <w:t xml:space="preserve"> </w:t>
      </w:r>
      <w:r w:rsidR="00FA60C1">
        <w:rPr>
          <w:sz w:val="24"/>
          <w:szCs w:val="24"/>
        </w:rPr>
        <w:t>είναι πλέον</w:t>
      </w:r>
      <w:r w:rsidRPr="00D43AC0">
        <w:rPr>
          <w:sz w:val="24"/>
          <w:szCs w:val="24"/>
        </w:rPr>
        <w:t xml:space="preserve"> </w:t>
      </w:r>
      <w:r w:rsidR="00FA60C1">
        <w:rPr>
          <w:sz w:val="24"/>
          <w:szCs w:val="24"/>
        </w:rPr>
        <w:t>περισσότερες</w:t>
      </w:r>
      <w:r w:rsidRPr="00D43AC0">
        <w:rPr>
          <w:sz w:val="24"/>
          <w:szCs w:val="24"/>
        </w:rPr>
        <w:t xml:space="preserve"> οι επιχειρήσεις που έχουν υιοθετήσει το παγκόσμια αναγνωρισμένο πλαίσιο οδηγιών του </w:t>
      </w:r>
      <w:r w:rsidRPr="00D43AC0">
        <w:rPr>
          <w:sz w:val="24"/>
          <w:szCs w:val="24"/>
          <w:lang w:val="en-US"/>
        </w:rPr>
        <w:t>Global</w:t>
      </w:r>
      <w:r w:rsidRPr="00D43AC0">
        <w:rPr>
          <w:sz w:val="24"/>
          <w:szCs w:val="24"/>
        </w:rPr>
        <w:t xml:space="preserve"> </w:t>
      </w:r>
      <w:r w:rsidRPr="00D43AC0">
        <w:rPr>
          <w:sz w:val="24"/>
          <w:szCs w:val="24"/>
          <w:lang w:val="en-US"/>
        </w:rPr>
        <w:t>Reporting</w:t>
      </w:r>
      <w:r w:rsidRPr="00D43AC0">
        <w:rPr>
          <w:sz w:val="24"/>
          <w:szCs w:val="24"/>
        </w:rPr>
        <w:t xml:space="preserve"> </w:t>
      </w:r>
      <w:r w:rsidRPr="00D43AC0">
        <w:rPr>
          <w:sz w:val="24"/>
          <w:szCs w:val="24"/>
          <w:lang w:val="en-US"/>
        </w:rPr>
        <w:t>Initiative</w:t>
      </w:r>
      <w:r w:rsidRPr="00D43AC0">
        <w:rPr>
          <w:sz w:val="24"/>
          <w:szCs w:val="24"/>
        </w:rPr>
        <w:t xml:space="preserve"> που προσφέρει μια προτυποποιημένη δομή και περιεχόμενο στους απολογισμούς ΕΚΕ, με αξία αντίστοιχη αυτής που έχουν τα Διεθνή Λογιστικά Πρότυπα για τους χρηματοοικονομικούς απολογισμούς. Στο ιδιαίτερα κρίσιμο δε πεδίο της </w:t>
      </w:r>
      <w:r w:rsidR="00D6331C">
        <w:rPr>
          <w:sz w:val="24"/>
          <w:szCs w:val="24"/>
        </w:rPr>
        <w:t>εξωτερικής επαλήθευσης</w:t>
      </w:r>
      <w:r w:rsidRPr="00D43AC0">
        <w:rPr>
          <w:sz w:val="24"/>
          <w:szCs w:val="24"/>
        </w:rPr>
        <w:t xml:space="preserve"> των στοιχείων που </w:t>
      </w:r>
      <w:r w:rsidR="00D6331C">
        <w:rPr>
          <w:sz w:val="24"/>
          <w:szCs w:val="24"/>
        </w:rPr>
        <w:t>περιλαμβάνονται</w:t>
      </w:r>
      <w:r w:rsidRPr="00D43AC0">
        <w:rPr>
          <w:sz w:val="24"/>
          <w:szCs w:val="24"/>
        </w:rPr>
        <w:t xml:space="preserve"> </w:t>
      </w:r>
      <w:r w:rsidR="00D6331C">
        <w:rPr>
          <w:sz w:val="24"/>
          <w:szCs w:val="24"/>
        </w:rPr>
        <w:t>στις</w:t>
      </w:r>
      <w:r w:rsidRPr="00D43AC0">
        <w:rPr>
          <w:sz w:val="24"/>
          <w:szCs w:val="24"/>
        </w:rPr>
        <w:t xml:space="preserve"> εκθέσεις</w:t>
      </w:r>
      <w:r w:rsidR="00D6331C">
        <w:rPr>
          <w:sz w:val="24"/>
          <w:szCs w:val="24"/>
        </w:rPr>
        <w:t xml:space="preserve"> αυτές</w:t>
      </w:r>
      <w:r w:rsidRPr="00D43AC0">
        <w:rPr>
          <w:sz w:val="24"/>
          <w:szCs w:val="24"/>
        </w:rPr>
        <w:t xml:space="preserve">, τα δεδομένα είναι ακόμα χαμηλότερα, με μόνο </w:t>
      </w:r>
      <w:r w:rsidR="00FA60C1">
        <w:rPr>
          <w:sz w:val="24"/>
          <w:szCs w:val="24"/>
        </w:rPr>
        <w:t xml:space="preserve">το </w:t>
      </w:r>
      <w:r w:rsidRPr="00D43AC0">
        <w:rPr>
          <w:sz w:val="24"/>
          <w:szCs w:val="24"/>
        </w:rPr>
        <w:t>4</w:t>
      </w:r>
      <w:r w:rsidR="00FA60C1">
        <w:rPr>
          <w:sz w:val="24"/>
          <w:szCs w:val="24"/>
        </w:rPr>
        <w:t>5% από τις</w:t>
      </w:r>
      <w:r w:rsidRPr="00D43AC0">
        <w:rPr>
          <w:sz w:val="24"/>
          <w:szCs w:val="24"/>
        </w:rPr>
        <w:t xml:space="preserve"> εταιρείες να έχουν προχωρήσει στη διενέργεια εξακρίβωσης των παρεχόμενων πληροφοριών ΕΚΕ από αρμόδιο εξωτερικό φορέα. </w:t>
      </w:r>
    </w:p>
    <w:p w:rsidR="009C15E8" w:rsidRPr="00934F72" w:rsidRDefault="009C15E8" w:rsidP="0047330E">
      <w:pPr>
        <w:tabs>
          <w:tab w:val="left" w:pos="5540"/>
        </w:tabs>
        <w:spacing w:line="360" w:lineRule="auto"/>
        <w:jc w:val="both"/>
        <w:rPr>
          <w:sz w:val="24"/>
          <w:szCs w:val="24"/>
        </w:rPr>
      </w:pPr>
      <w:r w:rsidRPr="00D43AC0">
        <w:rPr>
          <w:sz w:val="24"/>
          <w:szCs w:val="24"/>
        </w:rPr>
        <w:t xml:space="preserve">Οι εγχώριες επιχειρήσεις παρουσιάζονται τουλάχιστον διστακτικές ως προς τα οφέλη των προτύπων κοινωνικής υπευθυνότητας και συστηματικής διαβούλευσης με ενδιαφερόμενα μέρη τους (βλ. </w:t>
      </w:r>
      <w:r w:rsidRPr="00D43AC0">
        <w:rPr>
          <w:sz w:val="24"/>
          <w:szCs w:val="24"/>
          <w:lang w:val="en-US"/>
        </w:rPr>
        <w:t>SA</w:t>
      </w:r>
      <w:r w:rsidRPr="00D43AC0">
        <w:rPr>
          <w:sz w:val="24"/>
          <w:szCs w:val="24"/>
        </w:rPr>
        <w:t xml:space="preserve">8000 και ΑΑ1000), με τις εταιρείες που να έχουν επιδιώξει και πετύχει αντίστοιχες πιστοποιήσεις να είναι ελάχιστες. Παρατηρώντας δε τον αριθμό πιστοποιημένων συστημάτων διαχείρισης σύμφωνα με τα πιο διαδεδομένα πρότυπα </w:t>
      </w:r>
      <w:r w:rsidRPr="00D43AC0">
        <w:rPr>
          <w:sz w:val="24"/>
          <w:szCs w:val="24"/>
          <w:lang w:val="en-US"/>
        </w:rPr>
        <w:t>ISO</w:t>
      </w:r>
      <w:r w:rsidRPr="00D43AC0">
        <w:rPr>
          <w:sz w:val="24"/>
          <w:szCs w:val="24"/>
        </w:rPr>
        <w:t xml:space="preserve">, εντοπίζεται μια σημαντική διαφορά με </w:t>
      </w:r>
      <w:r w:rsidR="005F782E" w:rsidRPr="00D43AC0">
        <w:rPr>
          <w:sz w:val="24"/>
          <w:szCs w:val="24"/>
        </w:rPr>
        <w:t>περίπου</w:t>
      </w:r>
      <w:r w:rsidRPr="00D43AC0">
        <w:rPr>
          <w:sz w:val="24"/>
          <w:szCs w:val="24"/>
        </w:rPr>
        <w:t xml:space="preserve"> από </w:t>
      </w:r>
      <w:r w:rsidR="005F782E" w:rsidRPr="00D43AC0">
        <w:rPr>
          <w:sz w:val="24"/>
          <w:szCs w:val="24"/>
        </w:rPr>
        <w:t>7300</w:t>
      </w:r>
      <w:r w:rsidRPr="00D43AC0">
        <w:rPr>
          <w:sz w:val="24"/>
          <w:szCs w:val="24"/>
        </w:rPr>
        <w:t xml:space="preserve"> εγκαταστάσεις ελληνικών επιχειρήσεων να έχουν πιστοποιηθεί κατά </w:t>
      </w:r>
      <w:r w:rsidRPr="00D43AC0">
        <w:rPr>
          <w:sz w:val="24"/>
          <w:szCs w:val="24"/>
          <w:lang w:val="en-US"/>
        </w:rPr>
        <w:t>ISO</w:t>
      </w:r>
      <w:r w:rsidRPr="00D43AC0">
        <w:rPr>
          <w:sz w:val="24"/>
          <w:szCs w:val="24"/>
        </w:rPr>
        <w:t xml:space="preserve"> 9001, ενώ μόλις </w:t>
      </w:r>
      <w:r w:rsidR="005F782E" w:rsidRPr="00D43AC0">
        <w:rPr>
          <w:sz w:val="24"/>
          <w:szCs w:val="24"/>
        </w:rPr>
        <w:t>1025</w:t>
      </w:r>
      <w:r w:rsidRPr="00D43AC0">
        <w:rPr>
          <w:sz w:val="24"/>
          <w:szCs w:val="24"/>
        </w:rPr>
        <w:t xml:space="preserve"> (στοιχεία </w:t>
      </w:r>
      <w:r w:rsidR="005F782E" w:rsidRPr="00D43AC0">
        <w:rPr>
          <w:sz w:val="24"/>
          <w:szCs w:val="24"/>
        </w:rPr>
        <w:t>2013</w:t>
      </w:r>
      <w:r w:rsidRPr="00D43AC0">
        <w:rPr>
          <w:sz w:val="24"/>
          <w:szCs w:val="24"/>
        </w:rPr>
        <w:t xml:space="preserve">) να έχουν λάβει πιστοποίηση συστήματος περιβαλλοντικής διαχείρισης κατά </w:t>
      </w:r>
      <w:r w:rsidRPr="00D43AC0">
        <w:rPr>
          <w:sz w:val="24"/>
          <w:szCs w:val="24"/>
          <w:lang w:val="en-US"/>
        </w:rPr>
        <w:t>ISO</w:t>
      </w:r>
      <w:r w:rsidRPr="00D43AC0">
        <w:rPr>
          <w:sz w:val="24"/>
          <w:szCs w:val="24"/>
        </w:rPr>
        <w:t xml:space="preserve"> 14001. Η δε διείσδυση του </w:t>
      </w:r>
      <w:r w:rsidRPr="00D43AC0">
        <w:rPr>
          <w:sz w:val="24"/>
          <w:szCs w:val="24"/>
          <w:lang w:val="en-US"/>
        </w:rPr>
        <w:lastRenderedPageBreak/>
        <w:t>EMAS</w:t>
      </w:r>
      <w:r w:rsidRPr="00D43AC0">
        <w:rPr>
          <w:sz w:val="24"/>
          <w:szCs w:val="24"/>
        </w:rPr>
        <w:t xml:space="preserve"> στην στις ελληνικές επιχειρήσεις </w:t>
      </w:r>
      <w:r w:rsidR="008756CF">
        <w:rPr>
          <w:sz w:val="24"/>
          <w:szCs w:val="24"/>
        </w:rPr>
        <w:t>παραμένει</w:t>
      </w:r>
      <w:r w:rsidRPr="00D43AC0">
        <w:rPr>
          <w:sz w:val="24"/>
          <w:szCs w:val="24"/>
        </w:rPr>
        <w:t xml:space="preserve"> ακόμα χαμηλότερη με </w:t>
      </w:r>
      <w:r w:rsidR="005F782E" w:rsidRPr="00D43AC0">
        <w:rPr>
          <w:sz w:val="24"/>
          <w:szCs w:val="24"/>
        </w:rPr>
        <w:t>μόλις 28</w:t>
      </w:r>
      <w:r w:rsidRPr="00D43AC0">
        <w:rPr>
          <w:sz w:val="24"/>
          <w:szCs w:val="24"/>
        </w:rPr>
        <w:t xml:space="preserve"> επιχειρήσεις να έχουν πιστοποιήσει μια ή περισσότερες παραγωγικές μονάδες τους σύμφωνα με το συγκεκριμένο κανονισμό της Ευρωπαϊκής ένωσης. Η υποχρεωτική περιβαλλοντική δήλωση </w:t>
      </w:r>
      <w:r w:rsidRPr="00D43AC0">
        <w:rPr>
          <w:sz w:val="24"/>
          <w:szCs w:val="24"/>
          <w:lang w:val="en-US"/>
        </w:rPr>
        <w:t>EMAS</w:t>
      </w:r>
      <w:r w:rsidRPr="00D43AC0">
        <w:rPr>
          <w:sz w:val="24"/>
          <w:szCs w:val="24"/>
        </w:rPr>
        <w:t xml:space="preserve"> – μια έκθεση που παραθέτει την περιβαλλοντική επίδοση του οργανισμού κατά την περίοδο αναφοράς – έχει επισημανθεί ως η βασική αιτία που οι ελληνικές επιχειρήσεις επιλέγουν το </w:t>
      </w:r>
      <w:r w:rsidRPr="00D43AC0">
        <w:rPr>
          <w:sz w:val="24"/>
          <w:szCs w:val="24"/>
          <w:lang w:val="en-US"/>
        </w:rPr>
        <w:t>ISO</w:t>
      </w:r>
      <w:r w:rsidRPr="00D43AC0">
        <w:rPr>
          <w:sz w:val="24"/>
          <w:szCs w:val="24"/>
        </w:rPr>
        <w:t xml:space="preserve"> 14001 αντί του πιο ‘απαιτητικού’ </w:t>
      </w:r>
      <w:r w:rsidRPr="00D43AC0">
        <w:rPr>
          <w:sz w:val="24"/>
          <w:szCs w:val="24"/>
          <w:lang w:val="en-US"/>
        </w:rPr>
        <w:t>EMAS</w:t>
      </w:r>
      <w:r w:rsidRPr="00D43AC0">
        <w:rPr>
          <w:sz w:val="24"/>
          <w:szCs w:val="24"/>
        </w:rPr>
        <w:t>.</w:t>
      </w:r>
      <w:r w:rsidR="00665D59">
        <w:rPr>
          <w:sz w:val="24"/>
          <w:szCs w:val="24"/>
        </w:rPr>
        <w:t xml:space="preserve"> Τέλος, χαμηλός παραμένει και ο αριθμός </w:t>
      </w:r>
      <w:r w:rsidR="00934F72">
        <w:rPr>
          <w:sz w:val="24"/>
          <w:szCs w:val="24"/>
        </w:rPr>
        <w:t xml:space="preserve">των πιστοποιημένων συστημάτων διαχείρισης της υγείας και ασφάλειας σύμφωνα με το πρότυπο </w:t>
      </w:r>
      <w:r w:rsidR="00934F72" w:rsidRPr="00934F72">
        <w:rPr>
          <w:sz w:val="24"/>
          <w:szCs w:val="24"/>
        </w:rPr>
        <w:t xml:space="preserve">OHSAS 18001, </w:t>
      </w:r>
      <w:r w:rsidR="00934F72">
        <w:rPr>
          <w:sz w:val="24"/>
          <w:szCs w:val="24"/>
        </w:rPr>
        <w:t xml:space="preserve">με μόνο 59 επιχειρήσεις να έχουν λάβει σχετική πιστοποίηση το 2012 σύμφωνα με έρευνα του </w:t>
      </w:r>
      <w:r w:rsidR="00934F72" w:rsidRPr="00934F72">
        <w:rPr>
          <w:sz w:val="24"/>
          <w:szCs w:val="24"/>
        </w:rPr>
        <w:t>OHSAS Project Group</w:t>
      </w:r>
      <w:r w:rsidR="00934F72">
        <w:rPr>
          <w:sz w:val="24"/>
          <w:szCs w:val="24"/>
        </w:rPr>
        <w:t>.</w:t>
      </w:r>
    </w:p>
    <w:p w:rsidR="009C15E8" w:rsidRPr="00D43AC0" w:rsidRDefault="00171F1E" w:rsidP="00171F1E">
      <w:pPr>
        <w:tabs>
          <w:tab w:val="left" w:pos="5540"/>
        </w:tabs>
        <w:spacing w:line="360" w:lineRule="auto"/>
        <w:jc w:val="center"/>
        <w:rPr>
          <w:sz w:val="24"/>
          <w:szCs w:val="24"/>
        </w:rPr>
      </w:pPr>
      <w:r w:rsidRPr="00D43AC0">
        <w:rPr>
          <w:noProof/>
          <w:sz w:val="24"/>
          <w:szCs w:val="24"/>
          <w:lang w:eastAsia="el-GR"/>
        </w:rPr>
        <w:drawing>
          <wp:inline distT="0" distB="0" distL="0" distR="0">
            <wp:extent cx="4572000" cy="3038475"/>
            <wp:effectExtent l="19050" t="0" r="19050" b="0"/>
            <wp:docPr id="4"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15E8" w:rsidRPr="00E57044" w:rsidRDefault="00E57044" w:rsidP="00E57044">
      <w:pPr>
        <w:tabs>
          <w:tab w:val="left" w:pos="5540"/>
        </w:tabs>
        <w:spacing w:line="360" w:lineRule="auto"/>
        <w:ind w:left="993" w:hanging="993"/>
        <w:jc w:val="both"/>
      </w:pPr>
      <w:r w:rsidRPr="00E57044">
        <w:t xml:space="preserve">Σχήμα 7: </w:t>
      </w:r>
      <w:r w:rsidR="009C15E8" w:rsidRPr="00E57044">
        <w:t>Η διαχρονική πιστοποίηση παραγωγικών μονάδων κατά</w:t>
      </w:r>
      <w:r w:rsidRPr="00E57044">
        <w:t xml:space="preserve"> </w:t>
      </w:r>
      <w:r w:rsidR="009C15E8" w:rsidRPr="00E57044">
        <w:rPr>
          <w:lang w:val="en-US"/>
        </w:rPr>
        <w:t>ISO</w:t>
      </w:r>
      <w:r w:rsidR="009C15E8" w:rsidRPr="00E57044">
        <w:t xml:space="preserve"> 9001 και </w:t>
      </w:r>
      <w:r w:rsidR="009C15E8" w:rsidRPr="00E57044">
        <w:rPr>
          <w:lang w:val="en-US"/>
        </w:rPr>
        <w:t>ISO</w:t>
      </w:r>
      <w:r w:rsidR="009C15E8" w:rsidRPr="00E57044">
        <w:t xml:space="preserve"> 14001 στην Ελλάδα</w:t>
      </w:r>
    </w:p>
    <w:p w:rsidR="00A86FC7" w:rsidRDefault="00A86FC7" w:rsidP="0047330E">
      <w:pPr>
        <w:tabs>
          <w:tab w:val="left" w:pos="5540"/>
        </w:tabs>
        <w:spacing w:line="360" w:lineRule="auto"/>
        <w:jc w:val="both"/>
        <w:rPr>
          <w:sz w:val="24"/>
          <w:szCs w:val="24"/>
        </w:rPr>
      </w:pPr>
    </w:p>
    <w:p w:rsidR="008B34EB" w:rsidRDefault="008B34EB" w:rsidP="0047330E">
      <w:pPr>
        <w:tabs>
          <w:tab w:val="left" w:pos="5540"/>
        </w:tabs>
        <w:spacing w:line="360" w:lineRule="auto"/>
        <w:jc w:val="both"/>
        <w:rPr>
          <w:sz w:val="24"/>
          <w:szCs w:val="24"/>
        </w:rPr>
      </w:pPr>
    </w:p>
    <w:p w:rsidR="008B34EB" w:rsidRDefault="008B34EB" w:rsidP="0047330E">
      <w:pPr>
        <w:tabs>
          <w:tab w:val="left" w:pos="5540"/>
        </w:tabs>
        <w:spacing w:line="360" w:lineRule="auto"/>
        <w:jc w:val="both"/>
        <w:rPr>
          <w:sz w:val="24"/>
          <w:szCs w:val="24"/>
        </w:rPr>
      </w:pPr>
    </w:p>
    <w:p w:rsidR="00D6331C" w:rsidRDefault="00D6331C" w:rsidP="0047330E">
      <w:pPr>
        <w:tabs>
          <w:tab w:val="left" w:pos="5540"/>
        </w:tabs>
        <w:spacing w:line="360" w:lineRule="auto"/>
        <w:jc w:val="both"/>
        <w:rPr>
          <w:sz w:val="24"/>
          <w:szCs w:val="24"/>
        </w:rPr>
      </w:pPr>
    </w:p>
    <w:p w:rsidR="008B34EB" w:rsidRDefault="008B34EB" w:rsidP="0047330E">
      <w:pPr>
        <w:tabs>
          <w:tab w:val="left" w:pos="5540"/>
        </w:tabs>
        <w:spacing w:line="360" w:lineRule="auto"/>
        <w:jc w:val="both"/>
        <w:rPr>
          <w:sz w:val="24"/>
          <w:szCs w:val="24"/>
        </w:rPr>
      </w:pPr>
    </w:p>
    <w:p w:rsidR="009C15E8" w:rsidRPr="00D43AC0" w:rsidRDefault="009C15E8" w:rsidP="0047330E">
      <w:pPr>
        <w:tabs>
          <w:tab w:val="left" w:pos="5540"/>
        </w:tabs>
        <w:spacing w:line="360" w:lineRule="auto"/>
        <w:jc w:val="both"/>
        <w:rPr>
          <w:b/>
          <w:sz w:val="24"/>
          <w:szCs w:val="24"/>
        </w:rPr>
      </w:pPr>
      <w:r w:rsidRPr="00D43AC0">
        <w:rPr>
          <w:b/>
          <w:sz w:val="24"/>
          <w:szCs w:val="24"/>
        </w:rPr>
        <w:lastRenderedPageBreak/>
        <w:t>Η κοινωνική υπευθυνότητα των επιχειρήσεων στην Ελλάδα με μια κριτική ματιά</w:t>
      </w:r>
    </w:p>
    <w:p w:rsidR="009C15E8" w:rsidRPr="00D43AC0" w:rsidRDefault="009C15E8" w:rsidP="0047330E">
      <w:pPr>
        <w:tabs>
          <w:tab w:val="left" w:pos="5540"/>
        </w:tabs>
        <w:spacing w:line="360" w:lineRule="auto"/>
        <w:jc w:val="both"/>
        <w:rPr>
          <w:sz w:val="24"/>
          <w:szCs w:val="24"/>
        </w:rPr>
      </w:pPr>
      <w:r w:rsidRPr="00D43AC0">
        <w:rPr>
          <w:sz w:val="24"/>
          <w:szCs w:val="24"/>
        </w:rPr>
        <w:t xml:space="preserve">Μεγάλες ελληνικές εταιρείες έχουν πραγματοποιήσει σημαντικά βήματα για την προαγωγή της ΕΚΕ, υπάρχουν όμως σημαντικά περιθώρια βελτίωσης και περαιτέρω διάχυσης της κοινωνικά υπεύθυνης επιχειρηματικής λειτουργίας στην εγχώρια παραγωγική δραστηριότητα. Από τα παραπάνω στοιχεία διαφαίνεται ότι η συμμετοχή σε πρωτοβουλίες που δεν απαιτούν σημαντικές προϋποθέσεις και κριτήρια (βλ. Ελληνικό Δίκτυο ΕΚΕ, Συμβούλιο ΣΕΒ για τη Βιώσιμη Ανάπτυξη και Οικουμενικό Σύμφωνο ΟΗΕ) είναι συγκριτικά μεγαλύτερη από αυτή που συνεπάγεται σημαντικές επενδύσεις σε πόρους και αυστηρές προϋποθέσεις επίδοσης, ως αποτέλεσμα συστηματικών πρακτικών, σε ζητήματα ΕΚΕ (βλ. δείκτες αειφορίας </w:t>
      </w:r>
      <w:r w:rsidRPr="00D43AC0">
        <w:rPr>
          <w:sz w:val="24"/>
          <w:szCs w:val="24"/>
          <w:lang w:val="en-US"/>
        </w:rPr>
        <w:t>DJSI</w:t>
      </w:r>
      <w:r w:rsidRPr="00D43AC0">
        <w:rPr>
          <w:sz w:val="24"/>
          <w:szCs w:val="24"/>
        </w:rPr>
        <w:t xml:space="preserve">, </w:t>
      </w:r>
      <w:r w:rsidRPr="00D43AC0">
        <w:rPr>
          <w:sz w:val="24"/>
          <w:szCs w:val="24"/>
          <w:lang w:val="en-US"/>
        </w:rPr>
        <w:t>FTSE</w:t>
      </w:r>
      <w:r w:rsidRPr="00D43AC0">
        <w:rPr>
          <w:sz w:val="24"/>
          <w:szCs w:val="24"/>
        </w:rPr>
        <w:t>4</w:t>
      </w:r>
      <w:r w:rsidRPr="00D43AC0">
        <w:rPr>
          <w:sz w:val="24"/>
          <w:szCs w:val="24"/>
          <w:lang w:val="en-US"/>
        </w:rPr>
        <w:t>Good</w:t>
      </w:r>
      <w:r w:rsidRPr="00D43AC0">
        <w:rPr>
          <w:sz w:val="24"/>
          <w:szCs w:val="24"/>
        </w:rPr>
        <w:t xml:space="preserve">, πρότυπα </w:t>
      </w:r>
      <w:r w:rsidRPr="00D43AC0">
        <w:rPr>
          <w:sz w:val="24"/>
          <w:szCs w:val="24"/>
          <w:lang w:val="en-US"/>
        </w:rPr>
        <w:t>SA</w:t>
      </w:r>
      <w:r w:rsidRPr="00D43AC0">
        <w:rPr>
          <w:sz w:val="24"/>
          <w:szCs w:val="24"/>
        </w:rPr>
        <w:t>8000 και ΑΑ1000, διασφάλιση πληροφοριών εκθέσεων ΕΚΕ, κλπ.). Ωστόσο, η δεύτερη κατηγορία πρωτοβουλιών ΕΚΕ έχει μεγαλύτερη αντίκτυπο και αξία καθώς σε αυτή αξιολογείται η κοινωνική υπευθυνότητα ενός οργανισμού στην πράξη και αποδεικνύεται τεκμηριωμένα ότι το όραμα και η στρατηγική του για την ΕΚΕ υλοποιείται με διαδικασίες προτυποποιημένες και αποτελεσματικές.</w:t>
      </w:r>
    </w:p>
    <w:p w:rsidR="009C15E8" w:rsidRPr="00D43AC0" w:rsidRDefault="009C15E8" w:rsidP="008B34EB">
      <w:pPr>
        <w:tabs>
          <w:tab w:val="left" w:pos="1596"/>
        </w:tabs>
        <w:spacing w:line="360" w:lineRule="auto"/>
        <w:jc w:val="both"/>
        <w:rPr>
          <w:sz w:val="24"/>
          <w:szCs w:val="24"/>
        </w:rPr>
      </w:pPr>
      <w:r w:rsidRPr="00D43AC0">
        <w:rPr>
          <w:sz w:val="24"/>
          <w:szCs w:val="24"/>
        </w:rPr>
        <w:t xml:space="preserve">Ακαδημαϊκοί ερευνητές έχουν επισημάνει ότι ο στρατηγικός σχεδιασμός των ελληνικών επιχειρήσεων πάσχει από επικέντρωση σε βραχυπρόθεσμα αποτελέσματα και χαρακτηρίζεται από σκεπτικισμό σε οποιασδήποτε μορφής αλλαγή στην παραγωγική διαδικασία. Αν και τα τελευταία χρόνια μεγάλοι επιχειρηματικοί οργανισμοί έχουν αναπτύξει ένα μακροπρόθεσμο στρατηγικό σχεδιασμό, η πλειοψηφία των ελληνικών επιχειρήσεων τείνει να αγνοεί ως μη σχετικές οποιεσδήποτε δυναμικές αλλαγές και καινοτόμες πρακτικές που αναδύονται, </w:t>
      </w:r>
      <w:r w:rsidR="00AD2C4A" w:rsidRPr="00D43AC0">
        <w:rPr>
          <w:sz w:val="24"/>
          <w:szCs w:val="24"/>
        </w:rPr>
        <w:t>υπό</w:t>
      </w:r>
      <w:r w:rsidRPr="00D43AC0">
        <w:rPr>
          <w:sz w:val="24"/>
          <w:szCs w:val="24"/>
        </w:rPr>
        <w:t xml:space="preserve"> το πρίσμα μιας στρατηγικής ελαχιστοποίησης του παραγωγικού κόστους. Οι θυγατρικές ξένων πολυεθνικών </w:t>
      </w:r>
      <w:r w:rsidR="00AD2C4A">
        <w:rPr>
          <w:sz w:val="24"/>
          <w:szCs w:val="24"/>
        </w:rPr>
        <w:t>είναι</w:t>
      </w:r>
      <w:r w:rsidRPr="00D43AC0">
        <w:rPr>
          <w:sz w:val="24"/>
          <w:szCs w:val="24"/>
        </w:rPr>
        <w:t xml:space="preserve"> αυτές που στο μεγαλύτερο βαθμό πρώτες (και συνήθως μόνο αυτές) υιοθετούν καινοτομίες, ευθυγραμμισμένες με το στρατηγικό όραμα της μητρικής εταιρείας.</w:t>
      </w:r>
    </w:p>
    <w:p w:rsidR="009C15E8" w:rsidRPr="00D43AC0" w:rsidRDefault="009C15E8" w:rsidP="0047330E">
      <w:pPr>
        <w:autoSpaceDE w:val="0"/>
        <w:autoSpaceDN w:val="0"/>
        <w:adjustRightInd w:val="0"/>
        <w:spacing w:line="360" w:lineRule="auto"/>
        <w:jc w:val="both"/>
        <w:rPr>
          <w:sz w:val="24"/>
          <w:szCs w:val="24"/>
        </w:rPr>
      </w:pPr>
      <w:r w:rsidRPr="00D43AC0">
        <w:rPr>
          <w:sz w:val="24"/>
          <w:szCs w:val="24"/>
        </w:rPr>
        <w:t xml:space="preserve">Πάντως η κοινωνικά υπεύθυνη επιχειρηματικότητα δεν μπορεί να καταστεί πραγματικότητα στην Ελλάδα παραβλέποντας το πρόβλημα της εκτεταμένης φοροαποφυγής που υπονομεύει την αποτελεσματική διαχείριση των δημοσίων </w:t>
      </w:r>
      <w:r w:rsidRPr="00D43AC0">
        <w:rPr>
          <w:sz w:val="24"/>
          <w:szCs w:val="24"/>
        </w:rPr>
        <w:lastRenderedPageBreak/>
        <w:t>οικονομικών και την κοινωνική ευθυδικία. Εξετάζοντας τις ιστοσελίδες των 100 μεγαλύτερων εταιρειών στην Ελλάδα, πάνω από το 50% διατηρεί μια υπο-ενότητα στην εταιρική ιστοσελίδα που να επικοινωνεί τις δράσεις και την προσέγγισή του οργανισμού για την προώθηση κοινωνικά ή/και περιβαλλοντικά υπεύθυνων πρακτικών. Αν και συλλογικά οι πληροφορίες που παρέχουν οι εταιρείες καλύπτουν όλα τα σύγχρονα ζητήματα ΕΚΕ, πολλές από αυτές δε συμπεριλαμβάνουν το πιο σημαντικό ίσως και απτό αποτέλεσμα κοινωνικά υπεύθυνης επιχειρηματικής συμπεριφοράς: την πληρωμή των φόρων που σύμφωνα με το νόμο αντιστοιχούν στον όγκο της οικονομικής τους δραστηριότητας. Η επ</w:t>
      </w:r>
      <w:r w:rsidR="00AD2C4A">
        <w:rPr>
          <w:sz w:val="24"/>
          <w:szCs w:val="24"/>
        </w:rPr>
        <w:t>ιθετικές πρακτικές φοροαποφυγής</w:t>
      </w:r>
      <w:r w:rsidRPr="00D43AC0">
        <w:rPr>
          <w:sz w:val="24"/>
          <w:szCs w:val="24"/>
        </w:rPr>
        <w:t>, π.χ. με τη μορφή ενδοομιλικών συναλλαγών ή τη σύσταση υπεράκτιων εταιρειών, έχει αυξηθεί  τα τελευταία χρόνια και φορολογικές μεταρρυθμίσεις αναπτύχθηκαν να αντιμετωπίσουν το πρόβλημα. Ωστόσο, τα κενά προς εκμετάλλευση στο ελληνικό φορολογικό σύστημα αποτελούν ίσως το ύστατο δίλλημα μιας επιχείρησης που διατείνεται ότι είναι κοινωνικά υπεύθυνη. Πιο συγκεκριμένα, το κατά πόσο το κίνητρο για αύξηση των βραχυπρόθεσμων αποτελεσμάτων θα ωθήσει τη διοίκηση μιας επιχείρησης να υιοθετήσει πρακτικές φοροαποφυγής (που συνεπάγεται την μείωση των δημοκρατικά καθορισμένων φορολογικών εσόδων και την υπονόμευση της κοινωνικής ευημερίας), ίσως να αποτελεί το πρωταρχικό κριτήριο για την αξιολόγηση της ΕΚΕ των ελληνικών επιχειρήσεων.</w:t>
      </w:r>
    </w:p>
    <w:p w:rsidR="009C15E8" w:rsidRPr="00D43AC0" w:rsidRDefault="00FA60C1" w:rsidP="0047330E">
      <w:pPr>
        <w:tabs>
          <w:tab w:val="left" w:pos="5540"/>
        </w:tabs>
        <w:spacing w:line="360" w:lineRule="auto"/>
        <w:jc w:val="both"/>
        <w:rPr>
          <w:sz w:val="24"/>
          <w:szCs w:val="24"/>
        </w:rPr>
      </w:pPr>
      <w:r>
        <w:rPr>
          <w:sz w:val="24"/>
          <w:szCs w:val="24"/>
        </w:rPr>
        <w:t>Η δραστική πλειοψηφία (99,6</w:t>
      </w:r>
      <w:r w:rsidR="009C15E8" w:rsidRPr="00D43AC0">
        <w:rPr>
          <w:sz w:val="24"/>
          <w:szCs w:val="24"/>
        </w:rPr>
        <w:t>%) των ελληνικών επιχειρήσεων είναι μικρομεσαίες (ΜΜΕ), που απασχολούν το 74% των εργαζομένων στον ιδιωτικό τομέα, και ενώ η μεμονωμένη επίπτωσή τους είναι αμελητέα συγκριτικά με ένα μεγάλο οργανισμό, η συνολική τους επίπτωση στην ελληνική οικονομία και την κοινωνική ευημερία είναι καθοριστική. Η διάχυση πρακτικών κοινωνικής και περιβαλλοντικής υπευθυνότητας στις ελληνικές ΜΜΕ αποτελεί σημαντική πρόκληση, καθώς υπάρχουν μια σειρά από ανασταλτικούς παράγοντες όπως η έλλειψη επαρκούς ενημέρωσης/τεχνογνωσίας, χρόνου και πόρων αλλά και μια επιχειρηματική κουλτούρα που δεν προχωρά σε εθελοντικές δράσεις, ξεπερνώντας τις τυπικές απαιτήσεις της νομοθετικής συμμόρφωσης</w:t>
      </w:r>
      <w:r w:rsidR="005F782E" w:rsidRPr="00D43AC0">
        <w:rPr>
          <w:sz w:val="24"/>
          <w:szCs w:val="24"/>
        </w:rPr>
        <w:t>.</w:t>
      </w:r>
    </w:p>
    <w:p w:rsidR="009C15E8" w:rsidRPr="00D43AC0" w:rsidRDefault="009C15E8" w:rsidP="0047330E">
      <w:pPr>
        <w:tabs>
          <w:tab w:val="left" w:pos="5540"/>
        </w:tabs>
        <w:spacing w:line="360" w:lineRule="auto"/>
        <w:jc w:val="both"/>
        <w:rPr>
          <w:sz w:val="24"/>
          <w:szCs w:val="24"/>
        </w:rPr>
      </w:pPr>
      <w:r w:rsidRPr="00D43AC0">
        <w:rPr>
          <w:sz w:val="24"/>
          <w:szCs w:val="24"/>
        </w:rPr>
        <w:lastRenderedPageBreak/>
        <w:t xml:space="preserve">Εδώ </w:t>
      </w:r>
      <w:r w:rsidR="008B34EB" w:rsidRPr="00D43AC0">
        <w:rPr>
          <w:sz w:val="24"/>
          <w:szCs w:val="24"/>
        </w:rPr>
        <w:t>υπεισέρχεται</w:t>
      </w:r>
      <w:r w:rsidRPr="00D43AC0">
        <w:rPr>
          <w:sz w:val="24"/>
          <w:szCs w:val="24"/>
        </w:rPr>
        <w:t xml:space="preserve"> η ανάγκη ανάπτυξης και εφαρμογής προγραμμάτων για την ενημέρωση/εκπαίδευση των ΜΜΕ σε θέματα κοινωνικής και περιβαλλοντικής υπευθυνότητας, με τη σύμπραξη επιχειρηματικών φορέων - πρωτοβουλιών του ιδιωτικού τομέα με αντίστοιχους του δημοσίου τομέα. Ο ρόλος φορέων του δημοσίου στην προαγωγή της υπεύθυνης επιχειρηματικής συμπεριφοράς σε άλλες χώρες της Ευρώπης (πχ. Γαλλία, Γερμανία, Ηνωμένο Βασίλειο, σκανδιναβικές χώρες αλλά και χώρες της μεσογειακής Ευρώπης όπως η Ισπανία κα η Ιταλία) συνέβαλλε καθοριστικά στην διείσδυση της ΕΚΕ στην επιχειρηματική κουλτούρα. Η παροχή κινήτρων, η ‘επιβράβευση’ των επιχειρήσεων που εφαρμόζουν βέλτιστες πρακτικές ΕΚΕ αλλά και η μετάδοση τεχνογνωσίας και εμπειρίας από τις μεγάλες εταιρείες σε ΜΜΕ (έχοντας υπόψη τις οργανωτικές, λειτουργικές και άλλες χαρακτηριστικές διαφορές που τις διακρίνουν) μπορούν με τη συνεισφορά κρατικής παρέμβασης να επιφέρουν θετικά αποτελέσματα προς μια αναπτυξιακή πορεία με άξονα την αειφορία και την ολοκληρωμένη βελτίωση της κοινωνικής ευημερίας και ποιότητας ζωής. Ωστόσο, η πρόσφατη εισαγωγή στον πολιτικό διάλογο των εννοιών της ηλεκτρονικής δημοκρατίας / </w:t>
      </w:r>
      <w:r w:rsidRPr="00D43AC0">
        <w:rPr>
          <w:sz w:val="24"/>
          <w:szCs w:val="24"/>
          <w:lang w:val="en-US"/>
        </w:rPr>
        <w:t>e</w:t>
      </w:r>
      <w:r w:rsidRPr="00D43AC0">
        <w:rPr>
          <w:sz w:val="24"/>
          <w:szCs w:val="24"/>
        </w:rPr>
        <w:t>-</w:t>
      </w:r>
      <w:r w:rsidRPr="00D43AC0">
        <w:rPr>
          <w:sz w:val="24"/>
          <w:szCs w:val="24"/>
          <w:lang w:val="en-US"/>
        </w:rPr>
        <w:t>democracy</w:t>
      </w:r>
      <w:r w:rsidRPr="00D43AC0">
        <w:rPr>
          <w:sz w:val="24"/>
          <w:szCs w:val="24"/>
        </w:rPr>
        <w:t xml:space="preserve"> (ως ένα μέσο ενίσχυσης της διαφάνειας) αλλά και της συμμετοχικής δημοκρατίας / </w:t>
      </w:r>
      <w:r w:rsidRPr="00D43AC0">
        <w:rPr>
          <w:sz w:val="24"/>
          <w:szCs w:val="24"/>
          <w:lang w:val="en-GB"/>
        </w:rPr>
        <w:t>participatory</w:t>
      </w:r>
      <w:r w:rsidRPr="00D43AC0">
        <w:rPr>
          <w:sz w:val="24"/>
          <w:szCs w:val="24"/>
        </w:rPr>
        <w:t>-</w:t>
      </w:r>
      <w:r w:rsidRPr="00D43AC0">
        <w:rPr>
          <w:sz w:val="24"/>
          <w:szCs w:val="24"/>
          <w:lang w:val="en-GB"/>
        </w:rPr>
        <w:t>stakeholder</w:t>
      </w:r>
      <w:r w:rsidRPr="00D43AC0">
        <w:rPr>
          <w:sz w:val="24"/>
          <w:szCs w:val="24"/>
        </w:rPr>
        <w:t xml:space="preserve"> </w:t>
      </w:r>
      <w:r w:rsidRPr="00D43AC0">
        <w:rPr>
          <w:sz w:val="24"/>
          <w:szCs w:val="24"/>
          <w:lang w:val="en-GB"/>
        </w:rPr>
        <w:t>democracy</w:t>
      </w:r>
      <w:r w:rsidRPr="00D43AC0">
        <w:rPr>
          <w:sz w:val="24"/>
          <w:szCs w:val="24"/>
        </w:rPr>
        <w:t xml:space="preserve"> (η διεύρυνση των συμμετόχων στη λήψη αποφάσεων) μπορούν δυνητικά να έχουν ένα ενδιάμεσο ρόλο στη διαδικασία κατάρτισης πολιτικών που θα ενθαρρύνουν την ΕΚΕ.</w:t>
      </w:r>
    </w:p>
    <w:p w:rsidR="009C15E8" w:rsidRPr="00D43AC0" w:rsidRDefault="009C15E8" w:rsidP="0047330E">
      <w:pPr>
        <w:spacing w:line="360" w:lineRule="auto"/>
        <w:jc w:val="both"/>
        <w:rPr>
          <w:sz w:val="24"/>
          <w:szCs w:val="24"/>
        </w:rPr>
      </w:pPr>
      <w:r w:rsidRPr="00D43AC0">
        <w:rPr>
          <w:sz w:val="24"/>
          <w:szCs w:val="24"/>
        </w:rPr>
        <w:t xml:space="preserve">Ο σημαντικά μεγαλύτερος από άλλες ευρωπαϊκές χώρες ελληνικός δημόσιος τομέας υστερεί στην υιοθέτηση σύγχρονων πρακτικών </w:t>
      </w:r>
      <w:r w:rsidRPr="00D43AC0">
        <w:rPr>
          <w:sz w:val="24"/>
          <w:szCs w:val="24"/>
          <w:lang w:val="en-US"/>
        </w:rPr>
        <w:t>management</w:t>
      </w:r>
      <w:r w:rsidRPr="00D43AC0">
        <w:rPr>
          <w:sz w:val="24"/>
          <w:szCs w:val="24"/>
        </w:rPr>
        <w:t xml:space="preserve">. Οι έως τώρα προσπάθειες για μετασχηματισμό του στρατηγικού του οράματος, της ιεραρχικής δομής αρμοδιοτήτων, των διαδικασιών λογοδοσίας, της παροχής κινήτρων και της διαμόρφωσης μια σύγχρονης οργανωσιακής κουλτούρας είχαν περιορισμένα ή μηδαμινά αποτελέσματα. Οι πολύπλοκες γραφειοκρατικές διαδικασίες σε συνδυασμό με φαινόμενα διαφθοράς/δωροδοκίας, η έλλειψη μακροπρόθεσμου οράματος, η αντίσταση στις αλλαγές, η προσκόλληση στις διαδικασίες και τους κανονισμούς και όχι στα αποτελέσματα και την επίδοση, αλλά και η εστίαση στον εργαζόμενο και όχι τον πολίτη, αποτελούν εμπόδια στην ανάπτυξη μιας επιχειρηματικής κουλτούρας στο δημόσιο τομέα που θα υιοθετούσε την έννοια ΕΚΕ. </w:t>
      </w:r>
    </w:p>
    <w:p w:rsidR="009C15E8" w:rsidRPr="00D43AC0" w:rsidRDefault="009C15E8" w:rsidP="0047330E">
      <w:pPr>
        <w:tabs>
          <w:tab w:val="left" w:pos="5540"/>
        </w:tabs>
        <w:spacing w:line="360" w:lineRule="auto"/>
        <w:jc w:val="both"/>
        <w:rPr>
          <w:sz w:val="24"/>
          <w:szCs w:val="24"/>
        </w:rPr>
      </w:pPr>
      <w:r w:rsidRPr="00D43AC0">
        <w:rPr>
          <w:sz w:val="24"/>
          <w:szCs w:val="24"/>
        </w:rPr>
        <w:lastRenderedPageBreak/>
        <w:t xml:space="preserve">Η οικονομική κρίση που πλήττει την Ελλάδα σίγουρα θα επηρεάσει και τις δωρεές και τις δράσεις φιλανθρωπίας επιχειρήσεων που θα πληγούν σημαντικά από την κρίση. Ωστόσο, οι εταιρείες που έχουν προσεγγίσει την ΕΚΕ σε στρατηγικό επίπεδο, και όχι με τη μονοδιάστατη οπτική βελτίωσης της δημόσιας εικόνας και του κοινωνικού </w:t>
      </w:r>
      <w:r w:rsidRPr="00D43AC0">
        <w:rPr>
          <w:sz w:val="24"/>
          <w:szCs w:val="24"/>
          <w:lang w:val="en-US"/>
        </w:rPr>
        <w:t>marketing</w:t>
      </w:r>
      <w:r w:rsidRPr="00D43AC0">
        <w:rPr>
          <w:sz w:val="24"/>
          <w:szCs w:val="24"/>
        </w:rPr>
        <w:t>, πιθανότατα να συνεχίσουν να υποστηρίζουν τις εθελοντικές δράσεις και πρακτικές του στρατηγικού οράματος ΕΚΕ που έχουν αναπτύξει.</w:t>
      </w:r>
    </w:p>
    <w:p w:rsidR="00831A01" w:rsidRPr="00D43AC0" w:rsidRDefault="00831A01" w:rsidP="0047330E">
      <w:pPr>
        <w:spacing w:line="360" w:lineRule="auto"/>
        <w:rPr>
          <w:sz w:val="24"/>
          <w:szCs w:val="24"/>
        </w:rPr>
      </w:pPr>
    </w:p>
    <w:p w:rsidR="00E50715" w:rsidRPr="00D43AC0" w:rsidRDefault="00E50715" w:rsidP="00D43AC0">
      <w:pPr>
        <w:spacing w:line="360" w:lineRule="auto"/>
        <w:jc w:val="both"/>
        <w:rPr>
          <w:rFonts w:eastAsia="Calibri" w:cs="Times New Roman"/>
          <w:b/>
          <w:sz w:val="24"/>
          <w:szCs w:val="24"/>
        </w:rPr>
      </w:pPr>
      <w:r w:rsidRPr="00D43AC0">
        <w:rPr>
          <w:rFonts w:eastAsia="Calibri" w:cs="Times New Roman"/>
          <w:b/>
          <w:sz w:val="24"/>
          <w:szCs w:val="24"/>
        </w:rPr>
        <w:t>Μεθοδολογία Αξιολόγησης Εκθέσεων Εταιρικής Υπευθυνότητας</w:t>
      </w:r>
    </w:p>
    <w:p w:rsidR="009549F5" w:rsidRPr="00D43AC0" w:rsidRDefault="009549F5" w:rsidP="0047330E">
      <w:pPr>
        <w:spacing w:line="360" w:lineRule="auto"/>
        <w:jc w:val="both"/>
        <w:rPr>
          <w:sz w:val="24"/>
          <w:szCs w:val="24"/>
        </w:rPr>
      </w:pPr>
      <w:r w:rsidRPr="00D43AC0">
        <w:rPr>
          <w:rFonts w:cs="Arial"/>
          <w:sz w:val="24"/>
          <w:szCs w:val="24"/>
        </w:rPr>
        <w:t>Το Εργαστήριο Επιχειρησιακής Περιβαλλοντικής Πολιτικής και Διαχείρισης του Τμήματος Περιβάλλοντος του Πανεπιστημίου Αιγαίου σχεδίασε τη μέθοδο αξιολόγησης εκθέσεων εταιρικής υπευθυνότητας βάσει των Κατευθυντήριων Οδηγιών GRI. Η μέθοδος</w:t>
      </w:r>
      <w:r w:rsidRPr="00D43AC0">
        <w:rPr>
          <w:sz w:val="24"/>
          <w:szCs w:val="24"/>
        </w:rPr>
        <w:t xml:space="preserve"> αξιολόγησης απαρτίζεται από </w:t>
      </w:r>
      <w:r w:rsidR="00A86FC7" w:rsidRPr="00D43AC0">
        <w:rPr>
          <w:sz w:val="24"/>
          <w:szCs w:val="24"/>
        </w:rPr>
        <w:t>125</w:t>
      </w:r>
      <w:r w:rsidRPr="00D43AC0">
        <w:rPr>
          <w:sz w:val="24"/>
          <w:szCs w:val="24"/>
        </w:rPr>
        <w:t xml:space="preserve"> στοιχεία-δείκτες των Οδηγιών GRI</w:t>
      </w:r>
      <w:r w:rsidR="00D6331C">
        <w:rPr>
          <w:sz w:val="24"/>
          <w:szCs w:val="24"/>
        </w:rPr>
        <w:t>-</w:t>
      </w:r>
      <w:r w:rsidR="00D6331C">
        <w:rPr>
          <w:sz w:val="24"/>
          <w:szCs w:val="24"/>
          <w:lang w:val="en-US"/>
        </w:rPr>
        <w:t>G</w:t>
      </w:r>
      <w:r w:rsidR="00A86FC7" w:rsidRPr="00D43AC0">
        <w:rPr>
          <w:sz w:val="24"/>
          <w:szCs w:val="24"/>
        </w:rPr>
        <w:t>3.1</w:t>
      </w:r>
      <w:r w:rsidRPr="00D43AC0">
        <w:rPr>
          <w:sz w:val="24"/>
          <w:szCs w:val="24"/>
        </w:rPr>
        <w:t xml:space="preserve"> που προτείνονται προς κάλυψη, και ομαδοποιούνται σε 7 επιμέρους βασικές ενότητες οι οποίες αναφέρονται: </w:t>
      </w:r>
    </w:p>
    <w:p w:rsidR="009549F5" w:rsidRPr="00D43AC0" w:rsidRDefault="009549F5" w:rsidP="0047330E">
      <w:pPr>
        <w:numPr>
          <w:ilvl w:val="0"/>
          <w:numId w:val="3"/>
        </w:numPr>
        <w:spacing w:after="0" w:line="360" w:lineRule="auto"/>
        <w:jc w:val="both"/>
        <w:rPr>
          <w:sz w:val="24"/>
          <w:szCs w:val="24"/>
        </w:rPr>
      </w:pPr>
      <w:r w:rsidRPr="00D43AC0">
        <w:rPr>
          <w:sz w:val="24"/>
          <w:szCs w:val="24"/>
        </w:rPr>
        <w:t xml:space="preserve">στο όραμα και τη στρατηγική της επιχείρησης αναφορικά με την κοινωνική υπευθυνότητα και την αειφόρο ανάπτυξη, </w:t>
      </w:r>
    </w:p>
    <w:p w:rsidR="009549F5" w:rsidRPr="00D43AC0" w:rsidRDefault="009549F5" w:rsidP="0047330E">
      <w:pPr>
        <w:numPr>
          <w:ilvl w:val="0"/>
          <w:numId w:val="3"/>
        </w:numPr>
        <w:spacing w:after="0" w:line="360" w:lineRule="auto"/>
        <w:jc w:val="both"/>
        <w:rPr>
          <w:sz w:val="24"/>
          <w:szCs w:val="24"/>
        </w:rPr>
      </w:pPr>
      <w:r w:rsidRPr="00D43AC0">
        <w:rPr>
          <w:sz w:val="24"/>
          <w:szCs w:val="24"/>
        </w:rPr>
        <w:t>στην παρουσίαση του προφίλ της εταιρίας,</w:t>
      </w:r>
    </w:p>
    <w:p w:rsidR="009549F5" w:rsidRPr="00D43AC0" w:rsidRDefault="009549F5" w:rsidP="0047330E">
      <w:pPr>
        <w:numPr>
          <w:ilvl w:val="0"/>
          <w:numId w:val="3"/>
        </w:numPr>
        <w:spacing w:after="0" w:line="360" w:lineRule="auto"/>
        <w:jc w:val="both"/>
        <w:rPr>
          <w:sz w:val="24"/>
          <w:szCs w:val="24"/>
        </w:rPr>
      </w:pPr>
      <w:r w:rsidRPr="00D43AC0">
        <w:rPr>
          <w:sz w:val="24"/>
          <w:szCs w:val="24"/>
        </w:rPr>
        <w:t xml:space="preserve">στην διευκρίνιση βασικών πληροφοριών για τον ίδιο τον απολογισμό </w:t>
      </w:r>
    </w:p>
    <w:p w:rsidR="009549F5" w:rsidRPr="00D43AC0" w:rsidRDefault="009549F5" w:rsidP="0047330E">
      <w:pPr>
        <w:numPr>
          <w:ilvl w:val="0"/>
          <w:numId w:val="3"/>
        </w:numPr>
        <w:spacing w:after="0" w:line="360" w:lineRule="auto"/>
        <w:jc w:val="both"/>
        <w:rPr>
          <w:sz w:val="24"/>
          <w:szCs w:val="24"/>
        </w:rPr>
      </w:pPr>
      <w:r w:rsidRPr="00D43AC0">
        <w:rPr>
          <w:sz w:val="24"/>
          <w:szCs w:val="24"/>
        </w:rPr>
        <w:t>σε στοιχεία διακυβέρνησης, δεσμεύσεων του οργανισμού αλλά και διαβούλευσης με τα ενδιαφερόμενα μέρη</w:t>
      </w:r>
    </w:p>
    <w:p w:rsidR="009549F5" w:rsidRPr="00D43AC0" w:rsidRDefault="009549F5" w:rsidP="0047330E">
      <w:pPr>
        <w:numPr>
          <w:ilvl w:val="0"/>
          <w:numId w:val="3"/>
        </w:numPr>
        <w:spacing w:after="0" w:line="360" w:lineRule="auto"/>
        <w:jc w:val="both"/>
        <w:rPr>
          <w:sz w:val="24"/>
          <w:szCs w:val="24"/>
        </w:rPr>
      </w:pPr>
      <w:r w:rsidRPr="00D43AC0">
        <w:rPr>
          <w:sz w:val="24"/>
          <w:szCs w:val="24"/>
        </w:rPr>
        <w:t xml:space="preserve">στην “τρισδιάστατη” επίδοση – οικονομική, περιβαλλοντική, κοινωνική – κατά την περίοδο αναφοράς της έκθεσης βάσει ποιοτικών και ποσοτικών δεικτών. </w:t>
      </w:r>
    </w:p>
    <w:p w:rsidR="009549F5" w:rsidRPr="00D43AC0" w:rsidRDefault="009549F5" w:rsidP="0047330E">
      <w:pPr>
        <w:spacing w:line="360" w:lineRule="auto"/>
        <w:jc w:val="both"/>
        <w:rPr>
          <w:sz w:val="24"/>
          <w:szCs w:val="24"/>
        </w:rPr>
      </w:pPr>
      <w:r w:rsidRPr="00D43AC0">
        <w:rPr>
          <w:sz w:val="24"/>
          <w:szCs w:val="24"/>
        </w:rPr>
        <w:t xml:space="preserve">Για κάθε ένα από αυτά τα στοιχεία αναπτύχθηκε ένα πρότυπο σύστημα βαθμολόγησης που αξιολογεί το βαθμό συμμόρφωσης έναντι των οδηγιών GRI. Όλα τα στοιχεία-δείκτες GRI βαθμολογήθηκαν στην κλίμακα 0-4, όπου 0 βαθμοί δίδονται όταν δεν υπάρχουν σχετικές πληροφορίες σε μια έκθεση και η μέγιστη βαθμολογία (4 βαθμοί) όταν η αναφορά είναι περιεκτική – ικανοποιώντας πλήρως τις απαιτήσεις των Οδηγιών GRI. </w:t>
      </w:r>
    </w:p>
    <w:p w:rsidR="009549F5" w:rsidRDefault="009549F5" w:rsidP="0047330E">
      <w:pPr>
        <w:spacing w:line="360" w:lineRule="auto"/>
        <w:jc w:val="both"/>
        <w:rPr>
          <w:sz w:val="24"/>
          <w:szCs w:val="24"/>
        </w:rPr>
      </w:pPr>
      <w:r w:rsidRPr="00D43AC0">
        <w:rPr>
          <w:sz w:val="24"/>
          <w:szCs w:val="24"/>
        </w:rPr>
        <w:lastRenderedPageBreak/>
        <w:t xml:space="preserve">Η μέθοδος αξιολογεί την πληρότητα και σαφήνεια της παρεχόμενης πληροφορίας με αποτέλεσμα όλες οι εκθέσεις να αξιολογούνται </w:t>
      </w:r>
      <w:r w:rsidRPr="00D43AC0">
        <w:rPr>
          <w:i/>
          <w:sz w:val="24"/>
          <w:szCs w:val="24"/>
        </w:rPr>
        <w:t>στο σύνολο</w:t>
      </w:r>
      <w:r w:rsidRPr="00D43AC0">
        <w:rPr>
          <w:sz w:val="24"/>
          <w:szCs w:val="24"/>
        </w:rPr>
        <w:t xml:space="preserve"> του προτύπου </w:t>
      </w:r>
      <w:r w:rsidRPr="00D43AC0">
        <w:rPr>
          <w:sz w:val="24"/>
          <w:szCs w:val="24"/>
          <w:lang w:val="en-US"/>
        </w:rPr>
        <w:t>GRI</w:t>
      </w:r>
      <w:r w:rsidRPr="00D43AC0">
        <w:rPr>
          <w:sz w:val="24"/>
          <w:szCs w:val="24"/>
        </w:rPr>
        <w:t>. Ακόμα και αν κάποιοι δείκτες φαινομενικά δε σχετίζονται με τον τομέα δραστηριοποίησης μιας εταιρείας θα πρέπει με σαφή τρόπο να εξηγήσει τους λόγους για τους οποίους δεν τους καλύπτει.</w:t>
      </w:r>
    </w:p>
    <w:p w:rsidR="008B34EB" w:rsidRPr="00D43AC0" w:rsidRDefault="008B34EB" w:rsidP="0047330E">
      <w:pPr>
        <w:spacing w:line="360" w:lineRule="auto"/>
        <w:jc w:val="both"/>
        <w:rPr>
          <w:sz w:val="24"/>
          <w:szCs w:val="24"/>
        </w:rPr>
      </w:pP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2120"/>
        <w:gridCol w:w="5352"/>
      </w:tblGrid>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bookmarkStart w:id="0" w:name="OLE_LINK2"/>
            <w:bookmarkStart w:id="1" w:name="OLE_LINK3"/>
            <w:r w:rsidRPr="00D43AC0">
              <w:rPr>
                <w:b/>
                <w:color w:val="000000"/>
                <w:sz w:val="24"/>
                <w:szCs w:val="24"/>
              </w:rPr>
              <w:t>Βαθμολογία</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Αιτιολόγηση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b/>
                <w:color w:val="000000"/>
                <w:sz w:val="24"/>
                <w:szCs w:val="24"/>
                <w:lang w:val="en-GB"/>
              </w:rPr>
            </w:pPr>
            <w:r w:rsidRPr="00D43AC0">
              <w:rPr>
                <w:b/>
                <w:color w:val="000000"/>
                <w:sz w:val="24"/>
                <w:szCs w:val="24"/>
              </w:rPr>
              <w:t>Παράδειγμα</w:t>
            </w:r>
            <w:r w:rsidRPr="00D43AC0">
              <w:rPr>
                <w:b/>
                <w:color w:val="000000"/>
                <w:sz w:val="24"/>
                <w:szCs w:val="24"/>
                <w:lang w:val="en-GB"/>
              </w:rPr>
              <w:t xml:space="preserve"> –</w:t>
            </w:r>
            <w:r w:rsidRPr="00D43AC0">
              <w:rPr>
                <w:b/>
                <w:i/>
                <w:color w:val="000000"/>
                <w:sz w:val="24"/>
                <w:szCs w:val="24"/>
                <w:lang w:val="en-GB"/>
              </w:rPr>
              <w:t xml:space="preserve"> </w:t>
            </w:r>
            <w:r w:rsidRPr="00D43AC0">
              <w:rPr>
                <w:b/>
                <w:i/>
                <w:color w:val="000000"/>
                <w:sz w:val="24"/>
                <w:szCs w:val="24"/>
              </w:rPr>
              <w:t>Άμεσες</w:t>
            </w:r>
            <w:r w:rsidRPr="00D43AC0">
              <w:rPr>
                <w:b/>
                <w:i/>
                <w:color w:val="000000"/>
                <w:sz w:val="24"/>
                <w:szCs w:val="24"/>
                <w:lang w:val="en-GB"/>
              </w:rPr>
              <w:t xml:space="preserve"> </w:t>
            </w:r>
            <w:r w:rsidRPr="00D43AC0">
              <w:rPr>
                <w:b/>
                <w:i/>
                <w:color w:val="000000"/>
                <w:sz w:val="24"/>
                <w:szCs w:val="24"/>
              </w:rPr>
              <w:t xml:space="preserve">εκπομπές </w:t>
            </w:r>
            <w:r w:rsidRPr="00D43AC0">
              <w:rPr>
                <w:b/>
                <w:i/>
                <w:color w:val="000000"/>
                <w:sz w:val="24"/>
                <w:szCs w:val="24"/>
                <w:lang w:val="en-GB"/>
              </w:rPr>
              <w:t>CO</w:t>
            </w:r>
            <w:r w:rsidRPr="00D43AC0">
              <w:rPr>
                <w:b/>
                <w:i/>
                <w:color w:val="000000"/>
                <w:sz w:val="24"/>
                <w:szCs w:val="24"/>
                <w:vertAlign w:val="subscript"/>
                <w:lang w:val="en-GB"/>
              </w:rPr>
              <w:t xml:space="preserve">2 </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0</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Καμία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Δεν παρέχονται σχετικές πληροφορίες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1</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Γενικές δηλώσεις</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 xml:space="preserve">“Η εταιρία μας παρακολουθεί τις εκπομπές </w:t>
            </w:r>
            <w:r w:rsidRPr="00D43AC0">
              <w:rPr>
                <w:i/>
                <w:color w:val="000000"/>
                <w:sz w:val="24"/>
                <w:szCs w:val="24"/>
                <w:lang w:val="en-GB"/>
              </w:rPr>
              <w:t>CO</w:t>
            </w:r>
            <w:r w:rsidRPr="00D43AC0">
              <w:rPr>
                <w:i/>
                <w:color w:val="000000"/>
                <w:sz w:val="24"/>
                <w:szCs w:val="24"/>
                <w:vertAlign w:val="subscript"/>
              </w:rPr>
              <w:t xml:space="preserve">2 </w:t>
            </w:r>
            <w:r w:rsidRPr="00D43AC0">
              <w:rPr>
                <w:i/>
                <w:color w:val="000000"/>
                <w:sz w:val="24"/>
                <w:szCs w:val="24"/>
              </w:rPr>
              <w:t>”</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2</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Σαφής αλλά περιορισμένη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 xml:space="preserve">“Το 2006 οι εκπομπές </w:t>
            </w:r>
            <w:r w:rsidRPr="00D43AC0">
              <w:rPr>
                <w:i/>
                <w:color w:val="000000"/>
                <w:sz w:val="24"/>
                <w:szCs w:val="24"/>
                <w:lang w:val="en-GB"/>
              </w:rPr>
              <w:t>CO</w:t>
            </w:r>
            <w:r w:rsidRPr="00D43AC0">
              <w:rPr>
                <w:i/>
                <w:color w:val="000000"/>
                <w:sz w:val="24"/>
                <w:szCs w:val="24"/>
                <w:vertAlign w:val="subscript"/>
              </w:rPr>
              <w:t>2</w:t>
            </w:r>
            <w:r w:rsidRPr="00D43AC0">
              <w:rPr>
                <w:i/>
                <w:color w:val="000000"/>
                <w:sz w:val="24"/>
                <w:szCs w:val="24"/>
              </w:rPr>
              <w:t xml:space="preserve"> από τη λειτουργία του οργανισμού ισοδυναμούσαν με </w:t>
            </w:r>
            <w:smartTag w:uri="urn:schemas-microsoft-com:office:smarttags" w:element="metricconverter">
              <w:smartTagPr>
                <w:attr w:name="ProductID" w:val="800 χιλ."/>
              </w:smartTagPr>
              <w:r w:rsidRPr="00D43AC0">
                <w:rPr>
                  <w:i/>
                  <w:color w:val="000000"/>
                  <w:sz w:val="24"/>
                  <w:szCs w:val="24"/>
                </w:rPr>
                <w:t>800 χιλ.</w:t>
              </w:r>
            </w:smartTag>
            <w:r w:rsidRPr="00D43AC0">
              <w:rPr>
                <w:i/>
                <w:color w:val="000000"/>
                <w:sz w:val="24"/>
                <w:szCs w:val="24"/>
              </w:rPr>
              <w:t xml:space="preserve"> τόνους”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3</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Εκτενής κάλυψη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 xml:space="preserve">“Κατά το 2006 οι κεντρικές υπηρεσίες και εργοστάσιά μας στην Ελλάδα παρήγαγαν </w:t>
            </w:r>
            <w:smartTag w:uri="urn:schemas-microsoft-com:office:smarttags" w:element="metricconverter">
              <w:smartTagPr>
                <w:attr w:name="ProductID" w:val="500 χιλ."/>
              </w:smartTagPr>
              <w:r w:rsidRPr="00D43AC0">
                <w:rPr>
                  <w:i/>
                  <w:color w:val="000000"/>
                  <w:sz w:val="24"/>
                  <w:szCs w:val="24"/>
                </w:rPr>
                <w:t>500 χιλ.</w:t>
              </w:r>
            </w:smartTag>
            <w:r w:rsidRPr="00D43AC0">
              <w:rPr>
                <w:i/>
                <w:color w:val="000000"/>
                <w:sz w:val="24"/>
                <w:szCs w:val="24"/>
              </w:rPr>
              <w:t xml:space="preserve"> τόνους </w:t>
            </w:r>
            <w:r w:rsidRPr="00D43AC0">
              <w:rPr>
                <w:i/>
                <w:color w:val="000000"/>
                <w:sz w:val="24"/>
                <w:szCs w:val="24"/>
                <w:lang w:val="en-GB"/>
              </w:rPr>
              <w:t>CO</w:t>
            </w:r>
            <w:r w:rsidRPr="00D43AC0">
              <w:rPr>
                <w:i/>
                <w:color w:val="000000"/>
                <w:sz w:val="24"/>
                <w:szCs w:val="24"/>
                <w:vertAlign w:val="subscript"/>
              </w:rPr>
              <w:t>2</w:t>
            </w:r>
            <w:r w:rsidRPr="00D43AC0">
              <w:rPr>
                <w:i/>
                <w:color w:val="000000"/>
                <w:sz w:val="24"/>
                <w:szCs w:val="24"/>
              </w:rPr>
              <w:t>,</w:t>
            </w:r>
            <w:r w:rsidRPr="00D43AC0">
              <w:rPr>
                <w:i/>
                <w:color w:val="000000"/>
                <w:sz w:val="24"/>
                <w:szCs w:val="24"/>
                <w:vertAlign w:val="subscript"/>
              </w:rPr>
              <w:t xml:space="preserve"> </w:t>
            </w:r>
            <w:r w:rsidRPr="00D43AC0">
              <w:rPr>
                <w:i/>
                <w:color w:val="000000"/>
                <w:sz w:val="24"/>
                <w:szCs w:val="24"/>
              </w:rPr>
              <w:t xml:space="preserve">ενώ οι μονάδες της εταιρίας στο εξωτερικό </w:t>
            </w:r>
            <w:smartTag w:uri="urn:schemas-microsoft-com:office:smarttags" w:element="metricconverter">
              <w:smartTagPr>
                <w:attr w:name="ProductID" w:val="300 χιλ."/>
              </w:smartTagPr>
              <w:r w:rsidRPr="00D43AC0">
                <w:rPr>
                  <w:i/>
                  <w:color w:val="000000"/>
                  <w:sz w:val="24"/>
                  <w:szCs w:val="24"/>
                </w:rPr>
                <w:t>300 χιλ.</w:t>
              </w:r>
            </w:smartTag>
            <w:r w:rsidRPr="00D43AC0">
              <w:rPr>
                <w:i/>
                <w:color w:val="000000"/>
                <w:sz w:val="24"/>
                <w:szCs w:val="24"/>
              </w:rPr>
              <w:t xml:space="preserve"> τόνους”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4</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Πλήρης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1B1C20"/>
                <w:sz w:val="24"/>
                <w:szCs w:val="24"/>
              </w:rPr>
            </w:pPr>
            <w:r w:rsidRPr="00D43AC0">
              <w:rPr>
                <w:i/>
                <w:color w:val="000000"/>
                <w:sz w:val="24"/>
                <w:szCs w:val="24"/>
              </w:rPr>
              <w:t xml:space="preserve">“Το 2006 οι συνολικές εκπομπές </w:t>
            </w:r>
            <w:r w:rsidRPr="00D43AC0">
              <w:rPr>
                <w:i/>
                <w:color w:val="000000"/>
                <w:sz w:val="24"/>
                <w:szCs w:val="24"/>
                <w:lang w:val="en-GB"/>
              </w:rPr>
              <w:t>CO</w:t>
            </w:r>
            <w:r w:rsidRPr="00D43AC0">
              <w:rPr>
                <w:i/>
                <w:color w:val="000000"/>
                <w:sz w:val="24"/>
                <w:szCs w:val="24"/>
                <w:vertAlign w:val="subscript"/>
              </w:rPr>
              <w:t xml:space="preserve">2 </w:t>
            </w:r>
            <w:r w:rsidRPr="00D43AC0">
              <w:rPr>
                <w:i/>
                <w:color w:val="000000"/>
                <w:sz w:val="24"/>
                <w:szCs w:val="24"/>
              </w:rPr>
              <w:t xml:space="preserve">για την εταιρία ήταν ισοδύναμες με </w:t>
            </w:r>
            <w:smartTag w:uri="urn:schemas-microsoft-com:office:smarttags" w:element="metricconverter">
              <w:smartTagPr>
                <w:attr w:name="ProductID" w:val="800 χιλ."/>
              </w:smartTagPr>
              <w:r w:rsidRPr="00D43AC0">
                <w:rPr>
                  <w:i/>
                  <w:color w:val="000000"/>
                  <w:sz w:val="24"/>
                  <w:szCs w:val="24"/>
                </w:rPr>
                <w:t>800 χιλ.</w:t>
              </w:r>
            </w:smartTag>
            <w:r w:rsidRPr="00D43AC0">
              <w:rPr>
                <w:i/>
                <w:color w:val="000000"/>
                <w:sz w:val="24"/>
                <w:szCs w:val="24"/>
              </w:rPr>
              <w:t xml:space="preserve"> τόνους. Οι κεντρικές υπηρεσίες και εργοστάσιά μας στην Ελλάδα παρήγαγαν </w:t>
            </w:r>
            <w:smartTag w:uri="urn:schemas-microsoft-com:office:smarttags" w:element="metricconverter">
              <w:smartTagPr>
                <w:attr w:name="ProductID" w:val="500 χιλ."/>
              </w:smartTagPr>
              <w:r w:rsidRPr="00D43AC0">
                <w:rPr>
                  <w:i/>
                  <w:color w:val="000000"/>
                  <w:sz w:val="24"/>
                  <w:szCs w:val="24"/>
                </w:rPr>
                <w:t>500 χιλ.</w:t>
              </w:r>
            </w:smartTag>
            <w:r w:rsidRPr="00D43AC0">
              <w:rPr>
                <w:i/>
                <w:color w:val="000000"/>
                <w:sz w:val="24"/>
                <w:szCs w:val="24"/>
              </w:rPr>
              <w:t xml:space="preserve"> τόνους </w:t>
            </w:r>
            <w:r w:rsidRPr="00D43AC0">
              <w:rPr>
                <w:i/>
                <w:color w:val="000000"/>
                <w:sz w:val="24"/>
                <w:szCs w:val="24"/>
                <w:lang w:val="en-GB"/>
              </w:rPr>
              <w:t>CO</w:t>
            </w:r>
            <w:r w:rsidRPr="00D43AC0">
              <w:rPr>
                <w:i/>
                <w:color w:val="000000"/>
                <w:sz w:val="24"/>
                <w:szCs w:val="24"/>
                <w:vertAlign w:val="subscript"/>
              </w:rPr>
              <w:t>2</w:t>
            </w:r>
            <w:r w:rsidRPr="00D43AC0">
              <w:rPr>
                <w:i/>
                <w:color w:val="000000"/>
                <w:sz w:val="24"/>
                <w:szCs w:val="24"/>
              </w:rPr>
              <w:t>,</w:t>
            </w:r>
            <w:r w:rsidRPr="00D43AC0">
              <w:rPr>
                <w:i/>
                <w:color w:val="000000"/>
                <w:sz w:val="24"/>
                <w:szCs w:val="24"/>
                <w:vertAlign w:val="subscript"/>
              </w:rPr>
              <w:t xml:space="preserve"> </w:t>
            </w:r>
            <w:r w:rsidRPr="00D43AC0">
              <w:rPr>
                <w:i/>
                <w:color w:val="000000"/>
                <w:sz w:val="24"/>
                <w:szCs w:val="24"/>
              </w:rPr>
              <w:t xml:space="preserve">ενώ οι μονάδες της εταιρείας στο εξωτερικό </w:t>
            </w:r>
            <w:smartTag w:uri="urn:schemas-microsoft-com:office:smarttags" w:element="metricconverter">
              <w:smartTagPr>
                <w:attr w:name="ProductID" w:val="300 χιλ."/>
              </w:smartTagPr>
              <w:r w:rsidRPr="00D43AC0">
                <w:rPr>
                  <w:i/>
                  <w:color w:val="000000"/>
                  <w:sz w:val="24"/>
                  <w:szCs w:val="24"/>
                </w:rPr>
                <w:t>300 χιλ.</w:t>
              </w:r>
            </w:smartTag>
            <w:r w:rsidRPr="00D43AC0">
              <w:rPr>
                <w:i/>
                <w:color w:val="000000"/>
                <w:sz w:val="24"/>
                <w:szCs w:val="24"/>
              </w:rPr>
              <w:t xml:space="preserve"> τόνους. Υπάρχει μια μείωση κατά 4% σε σχέση με τις εκπομπές του προηγούμενου έτους και στοχεύουμε σε περαιτέρω μείωση κατά 25% μέχρι το 2009, σε σύγκριση με τα επίπεδα εκπομπών του </w:t>
            </w:r>
            <w:smartTag w:uri="urn:schemas-microsoft-com:office:smarttags" w:element="metricconverter">
              <w:smartTagPr>
                <w:attr w:name="ProductID" w:val="1990”"/>
              </w:smartTagPr>
              <w:r w:rsidRPr="00D43AC0">
                <w:rPr>
                  <w:i/>
                  <w:color w:val="000000"/>
                  <w:sz w:val="24"/>
                  <w:szCs w:val="24"/>
                </w:rPr>
                <w:t>1990”</w:t>
              </w:r>
            </w:smartTag>
          </w:p>
        </w:tc>
      </w:tr>
    </w:tbl>
    <w:p w:rsidR="009549F5" w:rsidRPr="00D43AC0" w:rsidRDefault="005B350B" w:rsidP="009549F5">
      <w:pPr>
        <w:jc w:val="both"/>
        <w:rPr>
          <w:sz w:val="24"/>
          <w:szCs w:val="24"/>
        </w:rPr>
      </w:pPr>
      <w:bookmarkStart w:id="2" w:name="OLE_LINK4"/>
      <w:bookmarkStart w:id="3" w:name="OLE_LINK5"/>
      <w:bookmarkEnd w:id="0"/>
      <w:bookmarkEnd w:id="1"/>
      <w:r>
        <w:rPr>
          <w:sz w:val="24"/>
          <w:szCs w:val="24"/>
        </w:rPr>
        <w:t xml:space="preserve">Πίνακας 1: </w:t>
      </w:r>
      <w:r w:rsidR="009549F5" w:rsidRPr="00D43AC0">
        <w:rPr>
          <w:sz w:val="24"/>
          <w:szCs w:val="24"/>
        </w:rPr>
        <w:t>Η δομή του βαθμολογικού συστήματος αξιολόγησης</w:t>
      </w:r>
    </w:p>
    <w:p w:rsidR="00493CEC" w:rsidRPr="00D43AC0" w:rsidRDefault="00493CEC" w:rsidP="009549F5">
      <w:pPr>
        <w:jc w:val="both"/>
        <w:rPr>
          <w:sz w:val="24"/>
          <w:szCs w:val="24"/>
        </w:rPr>
      </w:pPr>
      <w:bookmarkStart w:id="4" w:name="OLE_LINK6"/>
      <w:bookmarkStart w:id="5" w:name="OLE_LINK7"/>
      <w:bookmarkEnd w:id="2"/>
      <w:bookmarkEnd w:id="3"/>
    </w:p>
    <w:p w:rsidR="009549F5" w:rsidRDefault="009549F5" w:rsidP="009549F5">
      <w:pPr>
        <w:jc w:val="both"/>
        <w:rPr>
          <w:sz w:val="24"/>
          <w:szCs w:val="24"/>
        </w:rPr>
      </w:pPr>
      <w:r w:rsidRPr="00D43AC0">
        <w:rPr>
          <w:sz w:val="24"/>
          <w:szCs w:val="24"/>
        </w:rPr>
        <w:t>Στην ειδική περίπτωση που ένας δείκτης/κριτήριο δεν καλύπτεται επειδή η υπό αξιολόγηση εταιρεία αναφέρει ότι είναι μη-σχετικός με τις δραστηριότητές και τη λειτουργία της τότε η βαθμολόγηση διαμορφώνεται ως εξής:</w:t>
      </w:r>
    </w:p>
    <w:p w:rsidR="008B34EB" w:rsidRDefault="008B34EB" w:rsidP="009549F5">
      <w:pPr>
        <w:jc w:val="both"/>
        <w:rPr>
          <w:sz w:val="24"/>
          <w:szCs w:val="24"/>
        </w:rPr>
      </w:pPr>
    </w:p>
    <w:p w:rsidR="008B34EB" w:rsidRDefault="008B34EB" w:rsidP="009549F5">
      <w:pPr>
        <w:jc w:val="both"/>
        <w:rPr>
          <w:sz w:val="24"/>
          <w:szCs w:val="24"/>
        </w:rPr>
      </w:pP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2119"/>
        <w:gridCol w:w="5353"/>
      </w:tblGrid>
      <w:tr w:rsidR="009549F5" w:rsidRPr="00D43AC0" w:rsidTr="008B34EB">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bookmarkStart w:id="6" w:name="OLE_LINK8"/>
            <w:bookmarkStart w:id="7" w:name="OLE_LINK9"/>
            <w:bookmarkEnd w:id="4"/>
            <w:bookmarkEnd w:id="5"/>
            <w:r w:rsidRPr="00D43AC0">
              <w:rPr>
                <w:b/>
                <w:color w:val="000000"/>
                <w:sz w:val="24"/>
                <w:szCs w:val="24"/>
              </w:rPr>
              <w:lastRenderedPageBreak/>
              <w:t>Βαθμολογία</w:t>
            </w:r>
          </w:p>
        </w:tc>
        <w:tc>
          <w:tcPr>
            <w:tcW w:w="2119"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Αιτιολόγηση</w:t>
            </w:r>
          </w:p>
        </w:tc>
        <w:tc>
          <w:tcPr>
            <w:tcW w:w="5353"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b/>
                <w:color w:val="000000"/>
                <w:sz w:val="24"/>
                <w:szCs w:val="24"/>
              </w:rPr>
            </w:pPr>
          </w:p>
        </w:tc>
      </w:tr>
      <w:tr w:rsidR="009549F5" w:rsidRPr="00D43AC0" w:rsidTr="008B34EB">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0</w:t>
            </w:r>
          </w:p>
        </w:tc>
        <w:tc>
          <w:tcPr>
            <w:tcW w:w="2119"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Καμία αναφορά</w:t>
            </w:r>
          </w:p>
        </w:tc>
        <w:tc>
          <w:tcPr>
            <w:tcW w:w="5353"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 xml:space="preserve">Ο δείκτης δεν καλύπτεται και δεν αποσαφηνίζονται οι λόγοι μη-καλύψής του </w:t>
            </w:r>
            <w:bookmarkStart w:id="8" w:name="OLE_LINK12"/>
            <w:bookmarkStart w:id="9" w:name="OLE_LINK13"/>
            <w:r w:rsidRPr="00D43AC0">
              <w:rPr>
                <w:i/>
                <w:color w:val="000000"/>
                <w:sz w:val="24"/>
                <w:szCs w:val="24"/>
              </w:rPr>
              <w:t xml:space="preserve">ή αναφέρεται επιγραμματικά ότι δεν είναι σχετικός με τις δραστηριότητες της εταιρείας </w:t>
            </w:r>
            <w:bookmarkEnd w:id="8"/>
            <w:bookmarkEnd w:id="9"/>
          </w:p>
        </w:tc>
      </w:tr>
      <w:tr w:rsidR="009549F5" w:rsidRPr="00D43AC0" w:rsidTr="008B34EB">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2</w:t>
            </w:r>
          </w:p>
        </w:tc>
        <w:tc>
          <w:tcPr>
            <w:tcW w:w="2119"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Σαφής αλλά περιορισμένη αναφορά</w:t>
            </w:r>
          </w:p>
        </w:tc>
        <w:tc>
          <w:tcPr>
            <w:tcW w:w="5353"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Ο δείκτης δεν καλύπτεται επειδή επισημαίνεται ότι δεν είναι σχετικός με τις δραστηριότητες της εταιρείας και παρέχεται μια σύντομη αλλά ικανοποιητική εξήγηση για τους λόγους μη κάλυψης</w:t>
            </w:r>
          </w:p>
        </w:tc>
      </w:tr>
      <w:tr w:rsidR="009549F5" w:rsidRPr="00D43AC0" w:rsidTr="008B34EB">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4</w:t>
            </w:r>
          </w:p>
        </w:tc>
        <w:tc>
          <w:tcPr>
            <w:tcW w:w="2119"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Πλήρης αναφορά</w:t>
            </w:r>
          </w:p>
        </w:tc>
        <w:tc>
          <w:tcPr>
            <w:tcW w:w="5353"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Ο δείκτης δεν καλύπτεται επειδή επισημαίνεται ότι δεν είναι σχετικός με τις δραστηριότητες της εταιρείας και επιπλέον παρέχεται μια σαφής/επαρκής εξήγηση για τους λόγους μη κάλυψής του</w:t>
            </w:r>
          </w:p>
        </w:tc>
      </w:tr>
    </w:tbl>
    <w:bookmarkEnd w:id="6"/>
    <w:bookmarkEnd w:id="7"/>
    <w:p w:rsidR="009549F5" w:rsidRPr="00D43AC0" w:rsidRDefault="009549F5" w:rsidP="009549F5">
      <w:pPr>
        <w:jc w:val="both"/>
        <w:rPr>
          <w:sz w:val="24"/>
          <w:szCs w:val="24"/>
        </w:rPr>
      </w:pPr>
      <w:r w:rsidRPr="00D43AC0">
        <w:rPr>
          <w:sz w:val="24"/>
          <w:szCs w:val="24"/>
        </w:rPr>
        <w:t>Πίνακας 2: Η αξιολόγηση δεικτών/κριτηρίων που δεν αναφέρονται σε ένα απολογισμό</w:t>
      </w:r>
    </w:p>
    <w:p w:rsidR="009549F5" w:rsidRPr="00D43AC0" w:rsidRDefault="00A86FC7" w:rsidP="009549F5">
      <w:pPr>
        <w:jc w:val="both"/>
        <w:rPr>
          <w:rFonts w:cs="Arial"/>
          <w:sz w:val="24"/>
          <w:szCs w:val="24"/>
        </w:rPr>
      </w:pPr>
      <w:r w:rsidRPr="00D43AC0">
        <w:rPr>
          <w:rFonts w:cs="Arial"/>
          <w:sz w:val="24"/>
          <w:szCs w:val="24"/>
        </w:rPr>
        <w:t>Σ</w:t>
      </w:r>
      <w:r w:rsidR="009549F5" w:rsidRPr="00D43AC0">
        <w:rPr>
          <w:rFonts w:cs="Arial"/>
          <w:sz w:val="24"/>
          <w:szCs w:val="24"/>
        </w:rPr>
        <w:t xml:space="preserve">ε περίπτωση που ο απολογισμός αποτελεί τον πρώτο που εκδίδει η εταιρεία δεν λαμβάνονται υπόψη δυο κριτήρια, που για την κάλυψη τους είναι αναγκαία η ύπαρξη προγενέστερου απολογισμού: (α) “3.10 - Παροχή εξήγησης για τις επιπτώσεις των αναθεωρήσεων των πληροφοριών που συμπεριλήφθηκαν σε προγενέστερους απολογισμούς και τους λόγους για αυτή την αναθεώρηση” και (β) “3.11 - Σημαντικές αλλαγές σε σχέση με τις προγενέστερες περιόδους απολογισμών στο πεδίο, στο όριο ή στις μεθόδους εκτίμησης που εφαρμόζονται στον απολογισμό”. </w:t>
      </w:r>
    </w:p>
    <w:p w:rsidR="009549F5" w:rsidRPr="00D43AC0" w:rsidRDefault="009549F5" w:rsidP="009549F5">
      <w:pPr>
        <w:jc w:val="both"/>
        <w:rPr>
          <w:sz w:val="24"/>
          <w:szCs w:val="24"/>
        </w:rPr>
      </w:pPr>
      <w:r w:rsidRPr="00D43AC0">
        <w:rPr>
          <w:sz w:val="24"/>
          <w:szCs w:val="24"/>
        </w:rPr>
        <w:t>Επιπλέον, στη μεθοδολογία βαθμολόγησης εκθέσεων ΕΚΕ έχουν ενσωματωθεί τρεις βασικές αρχές που πρέπει να διέπουν τις πρακτικές λογοδοσίας των εταιρειών σε ότι αφορά την κοινωνικά υπεύθυνη λειτουργία και συμπεριφορά. Οι αρχές αυτές αναφέρονται: (</w:t>
      </w:r>
      <w:r w:rsidRPr="00D43AC0">
        <w:rPr>
          <w:sz w:val="24"/>
          <w:szCs w:val="24"/>
          <w:lang w:val="en-US"/>
        </w:rPr>
        <w:t>i</w:t>
      </w:r>
      <w:r w:rsidRPr="00D43AC0">
        <w:rPr>
          <w:sz w:val="24"/>
          <w:szCs w:val="24"/>
        </w:rPr>
        <w:t xml:space="preserve">) στην </w:t>
      </w:r>
      <w:r w:rsidRPr="00D43AC0">
        <w:rPr>
          <w:i/>
          <w:sz w:val="24"/>
          <w:szCs w:val="24"/>
          <w:u w:val="single"/>
        </w:rPr>
        <w:t>ουσιαστικότητα</w:t>
      </w:r>
      <w:r w:rsidRPr="00D43AC0">
        <w:rPr>
          <w:sz w:val="24"/>
          <w:szCs w:val="24"/>
        </w:rPr>
        <w:t xml:space="preserve"> (</w:t>
      </w:r>
      <w:r w:rsidRPr="00D43AC0">
        <w:rPr>
          <w:sz w:val="24"/>
          <w:szCs w:val="24"/>
          <w:lang w:val="en-US"/>
        </w:rPr>
        <w:t>materiality</w:t>
      </w:r>
      <w:r w:rsidRPr="00D43AC0">
        <w:rPr>
          <w:sz w:val="24"/>
          <w:szCs w:val="24"/>
        </w:rPr>
        <w:t>) των παρεχόμενων πληροφοριών, (</w:t>
      </w:r>
      <w:r w:rsidRPr="00D43AC0">
        <w:rPr>
          <w:sz w:val="24"/>
          <w:szCs w:val="24"/>
          <w:lang w:val="en-US"/>
        </w:rPr>
        <w:t>ii</w:t>
      </w:r>
      <w:r w:rsidRPr="00D43AC0">
        <w:rPr>
          <w:sz w:val="24"/>
          <w:szCs w:val="24"/>
        </w:rPr>
        <w:t xml:space="preserve">) στην </w:t>
      </w:r>
      <w:r w:rsidRPr="00D43AC0">
        <w:rPr>
          <w:i/>
          <w:sz w:val="24"/>
          <w:szCs w:val="24"/>
          <w:u w:val="single"/>
        </w:rPr>
        <w:t>αξιοπιστία</w:t>
      </w:r>
      <w:r w:rsidRPr="00D43AC0">
        <w:rPr>
          <w:sz w:val="24"/>
          <w:szCs w:val="24"/>
        </w:rPr>
        <w:t xml:space="preserve"> (</w:t>
      </w:r>
      <w:r w:rsidRPr="00D43AC0">
        <w:rPr>
          <w:sz w:val="24"/>
          <w:szCs w:val="24"/>
          <w:lang w:val="en-US"/>
        </w:rPr>
        <w:t>credibility</w:t>
      </w:r>
      <w:r w:rsidRPr="00D43AC0">
        <w:rPr>
          <w:sz w:val="24"/>
          <w:szCs w:val="24"/>
        </w:rPr>
        <w:t>) των στοιχείων που παραθέτει η εταιρεία και (</w:t>
      </w:r>
      <w:r w:rsidRPr="00D43AC0">
        <w:rPr>
          <w:sz w:val="24"/>
          <w:szCs w:val="24"/>
          <w:lang w:val="en-US"/>
        </w:rPr>
        <w:t>iii</w:t>
      </w:r>
      <w:r w:rsidRPr="00D43AC0">
        <w:rPr>
          <w:sz w:val="24"/>
          <w:szCs w:val="24"/>
        </w:rPr>
        <w:t xml:space="preserve">) στην προαγωγή της </w:t>
      </w:r>
      <w:r w:rsidRPr="00D43AC0">
        <w:rPr>
          <w:i/>
          <w:sz w:val="24"/>
          <w:szCs w:val="24"/>
          <w:u w:val="single"/>
        </w:rPr>
        <w:t>επικοινωνίας και διαβούλευσης με τα ενδιαφερόμενα μέρη</w:t>
      </w:r>
      <w:r w:rsidRPr="00D43AC0">
        <w:rPr>
          <w:sz w:val="24"/>
          <w:szCs w:val="24"/>
        </w:rPr>
        <w:t xml:space="preserve"> (</w:t>
      </w:r>
      <w:r w:rsidRPr="00D43AC0">
        <w:rPr>
          <w:sz w:val="24"/>
          <w:szCs w:val="24"/>
          <w:lang w:val="en-US"/>
        </w:rPr>
        <w:t>stakeholder</w:t>
      </w:r>
      <w:r w:rsidRPr="00D43AC0">
        <w:rPr>
          <w:sz w:val="24"/>
          <w:szCs w:val="24"/>
        </w:rPr>
        <w:t xml:space="preserve"> </w:t>
      </w:r>
      <w:r w:rsidRPr="00D43AC0">
        <w:rPr>
          <w:sz w:val="24"/>
          <w:szCs w:val="24"/>
          <w:lang w:val="en-US"/>
        </w:rPr>
        <w:t>inclusiveness</w:t>
      </w:r>
      <w:r w:rsidRPr="00D43AC0">
        <w:rPr>
          <w:sz w:val="24"/>
          <w:szCs w:val="24"/>
        </w:rPr>
        <w:t>/</w:t>
      </w:r>
      <w:r w:rsidRPr="00D43AC0">
        <w:rPr>
          <w:sz w:val="24"/>
          <w:szCs w:val="24"/>
          <w:lang w:val="en-US"/>
        </w:rPr>
        <w:t>engagement</w:t>
      </w:r>
      <w:r w:rsidRPr="00D43AC0">
        <w:rPr>
          <w:sz w:val="24"/>
          <w:szCs w:val="24"/>
        </w:rPr>
        <w:t xml:space="preserve">). Από το μέσο όρο ενσωμάτωσης των τριών αρχών προκύπτει ένας συντελεστής βαρύτητας (που για το υπόλοιπο της παρούσας έκθεσης θα ονομάζεται ‘συντελεστής </w:t>
      </w:r>
      <w:r w:rsidRPr="00D43AC0">
        <w:rPr>
          <w:sz w:val="24"/>
          <w:szCs w:val="24"/>
          <w:lang w:val="en-US"/>
        </w:rPr>
        <w:t>MCS</w:t>
      </w:r>
      <w:r w:rsidRPr="00D43AC0">
        <w:rPr>
          <w:sz w:val="24"/>
          <w:szCs w:val="24"/>
        </w:rPr>
        <w:t xml:space="preserve">’) βάσει του οποίου σταθμίζονται οι πληροφορίες επίδοσης (οικονομικής, κοινωνικής, περιβαλλοντικής) και εν συνεχεία αθροίζονται με τις τυπικές πληροφορίες (προφίλ, διακυβέρνησης, κλπ.) που παραθέτει ο οργανισμός, για να προκύψει ο τελικός βαθμός με το οποίο αξιολογείται στο σύνολό της μια έκθεση ΕΚΕ. Στους πίνακες 3-5 που ακολουθούν </w:t>
      </w:r>
      <w:r w:rsidRPr="00D43AC0">
        <w:rPr>
          <w:sz w:val="24"/>
          <w:szCs w:val="24"/>
        </w:rPr>
        <w:lastRenderedPageBreak/>
        <w:t xml:space="preserve">παρουσιάζονται τα κριτήρια αξιολόγησης των τριών αρχών που συνθέτουν το συντελεστή βαρύτητας </w:t>
      </w:r>
      <w:r w:rsidRPr="00D43AC0">
        <w:rPr>
          <w:sz w:val="24"/>
          <w:szCs w:val="24"/>
          <w:lang w:val="en-US"/>
        </w:rPr>
        <w:t>MCS</w:t>
      </w:r>
      <w:r w:rsidRPr="00D43AC0">
        <w:rPr>
          <w:sz w:val="24"/>
          <w:szCs w:val="24"/>
        </w:rPr>
        <w:t>.</w:t>
      </w:r>
    </w:p>
    <w:p w:rsidR="00A86FC7" w:rsidRPr="00D43AC0" w:rsidRDefault="00A86FC7" w:rsidP="00A86FC7">
      <w:pPr>
        <w:jc w:val="both"/>
        <w:rPr>
          <w:sz w:val="24"/>
          <w:szCs w:val="24"/>
        </w:rPr>
      </w:pPr>
      <w:r w:rsidRPr="00D43AC0">
        <w:rPr>
          <w:sz w:val="24"/>
          <w:szCs w:val="24"/>
        </w:rPr>
        <w:t xml:space="preserve">Το μεθοδολογικό εργαλείο που αναπτύχθηκε εξετάζει μόνο την ποιότητα πληροφοριών που περιέχονται στις εκθέσεις. Δεν αξιολογεί </w:t>
      </w:r>
      <w:r w:rsidRPr="00D43AC0">
        <w:rPr>
          <w:i/>
          <w:sz w:val="24"/>
          <w:szCs w:val="24"/>
          <w:u w:val="single"/>
        </w:rPr>
        <w:t>άμεσα</w:t>
      </w:r>
      <w:r w:rsidRPr="00D43AC0">
        <w:rPr>
          <w:sz w:val="24"/>
          <w:szCs w:val="24"/>
        </w:rPr>
        <w:t xml:space="preserve"> την επίδοση των οργανισμών, αλλά ουσιαστικά τον τρόπο με τον οποίο παρουσιάζουν αυτή την επίδοση στις ομάδες ενδιαφέροντος, δηλ. </w:t>
      </w:r>
      <w:r w:rsidRPr="00D43AC0">
        <w:rPr>
          <w:i/>
          <w:sz w:val="24"/>
          <w:szCs w:val="24"/>
          <w:u w:val="single"/>
        </w:rPr>
        <w:t>τις πρακτικές λογοδοσίας των επιχειρήσεων</w:t>
      </w:r>
      <w:r w:rsidRPr="00D43AC0">
        <w:rPr>
          <w:i/>
          <w:sz w:val="24"/>
          <w:szCs w:val="24"/>
        </w:rPr>
        <w:t xml:space="preserve"> </w:t>
      </w:r>
      <w:r w:rsidRPr="00D43AC0">
        <w:rPr>
          <w:sz w:val="24"/>
          <w:szCs w:val="24"/>
        </w:rPr>
        <w:t xml:space="preserve">προς το ευρύτερο κοινωνικό σύνολο. Η εφαρμογή του συγκεκριμένου μεθοδολογικού εργαλείου εξετάζει </w:t>
      </w:r>
      <w:r w:rsidRPr="00D43AC0">
        <w:rPr>
          <w:i/>
          <w:sz w:val="24"/>
          <w:szCs w:val="24"/>
        </w:rPr>
        <w:t>μόνο</w:t>
      </w:r>
      <w:r w:rsidRPr="00D43AC0">
        <w:rPr>
          <w:sz w:val="24"/>
          <w:szCs w:val="24"/>
        </w:rPr>
        <w:t xml:space="preserve"> τους απολογισμούς, δεν λαμβάνει υπόψη άλλες πηγές, παρά μόνο στην περίπτωση που στις εκθέσεις αειφορίας υπάρχουν </w:t>
      </w:r>
      <w:r w:rsidRPr="00D43AC0">
        <w:rPr>
          <w:i/>
          <w:sz w:val="24"/>
          <w:szCs w:val="24"/>
        </w:rPr>
        <w:t>σαφείς</w:t>
      </w:r>
      <w:r w:rsidRPr="00D43AC0">
        <w:rPr>
          <w:sz w:val="24"/>
          <w:szCs w:val="24"/>
        </w:rPr>
        <w:t xml:space="preserve"> παραπομπές σε συγκεκριμένες δημοσιεύσεις-πηγές </w:t>
      </w:r>
      <w:r w:rsidRPr="00D43AC0">
        <w:rPr>
          <w:i/>
          <w:sz w:val="24"/>
          <w:szCs w:val="24"/>
        </w:rPr>
        <w:t>και</w:t>
      </w:r>
      <w:r w:rsidRPr="00D43AC0">
        <w:rPr>
          <w:sz w:val="24"/>
          <w:szCs w:val="24"/>
        </w:rPr>
        <w:t xml:space="preserve"> σε συγκεκριμένες ενότητες αυτών ή ακριβείς παραπομπές σε συγκεκριμένες πληροφορίες/ενότητες του ιστότοπου του οργανισμού. </w:t>
      </w:r>
    </w:p>
    <w:p w:rsidR="00A86FC7" w:rsidRPr="00D43AC0" w:rsidRDefault="00A86FC7" w:rsidP="00A86FC7">
      <w:pPr>
        <w:jc w:val="both"/>
        <w:rPr>
          <w:rFonts w:cs="Arial"/>
          <w:sz w:val="24"/>
          <w:szCs w:val="24"/>
        </w:rPr>
      </w:pPr>
      <w:r w:rsidRPr="00D43AC0">
        <w:rPr>
          <w:rFonts w:cs="Arial"/>
          <w:sz w:val="24"/>
          <w:szCs w:val="24"/>
        </w:rPr>
        <w:t xml:space="preserve">Η ανάλυση που εφαρμόστηκε εξέτασε τους απολογισμούς ενός μόνο έτους και δεν έλαβε ουσιαστικά υπόψη άλλες πηγές (π.χ. ιστοσελίδες των οργανισμών). Αυτό γίνεται μονάχα στην περίπτωση που στις εκθέσεις αειφορίας υπάρχουν </w:t>
      </w:r>
      <w:r w:rsidRPr="00D43AC0">
        <w:rPr>
          <w:rFonts w:cs="Arial"/>
          <w:i/>
          <w:sz w:val="24"/>
          <w:szCs w:val="24"/>
        </w:rPr>
        <w:t>σαφείς</w:t>
      </w:r>
      <w:r w:rsidRPr="00D43AC0">
        <w:rPr>
          <w:rFonts w:cs="Arial"/>
          <w:sz w:val="24"/>
          <w:szCs w:val="24"/>
        </w:rPr>
        <w:t xml:space="preserve"> παραπομπές σε συγκεκριμένες δημοσιεύσεις-πηγές και σε συγκεκριμένες ενότητες αυτών ή ακριβείς παραπομπές σε συγκεκριμένες πληροφορίες-σελίδες της ιστοσελίδας του οργανισμού.</w:t>
      </w:r>
    </w:p>
    <w:p w:rsidR="00AD2C4A" w:rsidRPr="00D43AC0" w:rsidRDefault="00AD2C4A" w:rsidP="00AD2C4A">
      <w:pPr>
        <w:jc w:val="both"/>
        <w:rPr>
          <w:rFonts w:eastAsia="Calibri" w:cs="Times New Roman"/>
          <w:i/>
          <w:sz w:val="24"/>
          <w:szCs w:val="24"/>
        </w:rPr>
      </w:pPr>
      <w:r w:rsidRPr="00D43AC0">
        <w:rPr>
          <w:rFonts w:eastAsia="Calibri" w:cs="Times New Roman"/>
          <w:i/>
          <w:sz w:val="24"/>
          <w:szCs w:val="24"/>
        </w:rPr>
        <w:t>Τέλος, πρέπει να αναφερθεί ότι η μέθοδος αξιολόγησης έχει αξιολογηθεί και επαληθευτεί από την Ένωση</w:t>
      </w:r>
      <w:r w:rsidRPr="00AD2C4A">
        <w:rPr>
          <w:rFonts w:eastAsia="Calibri" w:cs="Times New Roman"/>
          <w:i/>
          <w:sz w:val="24"/>
          <w:szCs w:val="24"/>
        </w:rPr>
        <w:t xml:space="preserve"> </w:t>
      </w:r>
      <w:r>
        <w:rPr>
          <w:rFonts w:eastAsia="Calibri" w:cs="Times New Roman"/>
          <w:i/>
          <w:sz w:val="24"/>
          <w:szCs w:val="24"/>
        </w:rPr>
        <w:t>Πτυχιούχων</w:t>
      </w:r>
      <w:r w:rsidRPr="00D43AC0">
        <w:rPr>
          <w:rFonts w:eastAsia="Calibri" w:cs="Times New Roman"/>
          <w:i/>
          <w:sz w:val="24"/>
          <w:szCs w:val="24"/>
        </w:rPr>
        <w:t xml:space="preserve"> Περιβαλλοντολόγων Ελλάδας που συνέβαλλε σημαντικά και στη διαμόρφωση και βελτίωσή της.</w:t>
      </w:r>
    </w:p>
    <w:p w:rsidR="00493CEC" w:rsidRPr="00AD2C4A" w:rsidRDefault="00493CEC" w:rsidP="00A86FC7">
      <w:pPr>
        <w:jc w:val="both"/>
        <w:rPr>
          <w:rFonts w:eastAsia="Calibri" w:cs="Times New Roman"/>
          <w:i/>
          <w:sz w:val="24"/>
          <w:szCs w:val="24"/>
        </w:rPr>
      </w:pPr>
    </w:p>
    <w:p w:rsidR="00D6331C" w:rsidRPr="00AD2C4A" w:rsidRDefault="00D6331C" w:rsidP="00A86FC7">
      <w:pPr>
        <w:jc w:val="both"/>
        <w:rPr>
          <w:rFonts w:eastAsia="Calibri" w:cs="Times New Roman"/>
          <w:i/>
          <w:sz w:val="24"/>
          <w:szCs w:val="24"/>
        </w:rPr>
      </w:pPr>
    </w:p>
    <w:p w:rsidR="00493CEC" w:rsidRPr="00D43AC0" w:rsidRDefault="00493CEC" w:rsidP="00A86FC7">
      <w:pPr>
        <w:jc w:val="both"/>
        <w:rPr>
          <w:rFonts w:eastAsia="Calibri" w:cs="Times New Roman"/>
          <w:i/>
          <w:sz w:val="24"/>
          <w:szCs w:val="24"/>
        </w:rPr>
      </w:pPr>
    </w:p>
    <w:p w:rsidR="00493CEC" w:rsidRPr="00D43AC0" w:rsidRDefault="00493CEC" w:rsidP="00A86FC7">
      <w:pPr>
        <w:jc w:val="both"/>
        <w:rPr>
          <w:rFonts w:eastAsia="Calibri" w:cs="Times New Roman"/>
          <w:i/>
          <w:sz w:val="24"/>
          <w:szCs w:val="24"/>
        </w:rPr>
      </w:pPr>
    </w:p>
    <w:p w:rsidR="00493CEC" w:rsidRPr="00D43AC0" w:rsidRDefault="00493CEC" w:rsidP="00A86FC7">
      <w:pPr>
        <w:jc w:val="both"/>
        <w:rPr>
          <w:rFonts w:eastAsia="Calibri" w:cs="Times New Roman"/>
          <w:i/>
          <w:sz w:val="24"/>
          <w:szCs w:val="24"/>
        </w:rPr>
      </w:pPr>
    </w:p>
    <w:p w:rsidR="00493CEC" w:rsidRDefault="00493CEC" w:rsidP="00A86FC7">
      <w:pPr>
        <w:jc w:val="both"/>
        <w:rPr>
          <w:rFonts w:eastAsia="Calibri" w:cs="Times New Roman"/>
          <w:i/>
          <w:sz w:val="24"/>
          <w:szCs w:val="24"/>
        </w:rPr>
      </w:pPr>
    </w:p>
    <w:p w:rsidR="008B34EB" w:rsidRDefault="008B34EB" w:rsidP="00A86FC7">
      <w:pPr>
        <w:jc w:val="both"/>
        <w:rPr>
          <w:rFonts w:eastAsia="Calibri" w:cs="Times New Roman"/>
          <w:i/>
          <w:sz w:val="24"/>
          <w:szCs w:val="24"/>
        </w:rPr>
      </w:pPr>
    </w:p>
    <w:p w:rsidR="008B34EB" w:rsidRDefault="008B34EB" w:rsidP="00A86FC7">
      <w:pPr>
        <w:jc w:val="both"/>
        <w:rPr>
          <w:rFonts w:eastAsia="Calibri" w:cs="Times New Roman"/>
          <w:i/>
          <w:sz w:val="24"/>
          <w:szCs w:val="24"/>
        </w:rPr>
      </w:pPr>
    </w:p>
    <w:p w:rsidR="008B34EB" w:rsidRDefault="008B34EB" w:rsidP="00A86FC7">
      <w:pPr>
        <w:jc w:val="both"/>
        <w:rPr>
          <w:rFonts w:eastAsia="Calibri" w:cs="Times New Roman"/>
          <w:i/>
          <w:sz w:val="24"/>
          <w:szCs w:val="24"/>
        </w:rPr>
      </w:pPr>
    </w:p>
    <w:p w:rsidR="008B34EB" w:rsidRDefault="008B34EB" w:rsidP="00A86FC7">
      <w:pPr>
        <w:jc w:val="both"/>
        <w:rPr>
          <w:rFonts w:eastAsia="Calibri" w:cs="Times New Roman"/>
          <w:i/>
          <w:sz w:val="24"/>
          <w:szCs w:val="24"/>
        </w:rPr>
      </w:pPr>
    </w:p>
    <w:p w:rsidR="008B34EB" w:rsidRPr="00AD2C4A" w:rsidRDefault="008B34EB" w:rsidP="00A86FC7">
      <w:pPr>
        <w:jc w:val="both"/>
        <w:rPr>
          <w:rFonts w:eastAsia="Calibri" w:cs="Times New Roman"/>
          <w:i/>
          <w:sz w:val="24"/>
          <w:szCs w:val="24"/>
        </w:rPr>
      </w:pP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2120"/>
        <w:gridCol w:w="5352"/>
      </w:tblGrid>
      <w:tr w:rsidR="009549F5" w:rsidRPr="00D43AC0" w:rsidTr="00E57044">
        <w:tc>
          <w:tcPr>
            <w:tcW w:w="8928" w:type="dxa"/>
            <w:gridSpan w:val="3"/>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b/>
                <w:color w:val="000000"/>
                <w:sz w:val="24"/>
                <w:szCs w:val="24"/>
              </w:rPr>
            </w:pPr>
            <w:r w:rsidRPr="00D43AC0">
              <w:rPr>
                <w:b/>
                <w:color w:val="000000"/>
                <w:sz w:val="24"/>
                <w:szCs w:val="24"/>
              </w:rPr>
              <w:lastRenderedPageBreak/>
              <w:t xml:space="preserve">Ουσιαστικότητα: </w:t>
            </w:r>
            <w:r w:rsidRPr="00D43AC0">
              <w:rPr>
                <w:i/>
                <w:color w:val="000000"/>
                <w:sz w:val="24"/>
                <w:szCs w:val="24"/>
              </w:rPr>
              <w:t xml:space="preserve">Οι εταιρείες πρέπει να αποσαφηνίζουν τις διαδικασίες βάσει των οποίων επέλεξαν τα θέματα που περιλαμβάνουν στον απολογισμό, να διευκρινίζουν τον τρόπο με τον οποίο ιεραρχούν τα επιμέρους σημαντικά θέματα ΕΚΕ για τα οποία καλούνται να λογοδοτήσουν. Οι πληροφορίες που περιλαμβάνονται σε έναν απολογισμό θα πρέπει να καλύπτουν τα θέματα και τους δείκτες που αντικατοπτρίζουν </w:t>
            </w:r>
            <w:r w:rsidRPr="00D43AC0">
              <w:rPr>
                <w:i/>
                <w:iCs/>
                <w:color w:val="000000"/>
                <w:sz w:val="24"/>
                <w:szCs w:val="24"/>
                <w:u w:val="single"/>
              </w:rPr>
              <w:t>τις σημαντικές οικονομικές, περιβαλλοντικές και κοινωνικές επιδράσεις του οργανισμού</w:t>
            </w:r>
            <w:r w:rsidRPr="00D43AC0">
              <w:rPr>
                <w:i/>
                <w:color w:val="000000"/>
                <w:sz w:val="24"/>
                <w:szCs w:val="24"/>
              </w:rPr>
              <w:t xml:space="preserve"> ή </w:t>
            </w:r>
            <w:r w:rsidRPr="00D43AC0">
              <w:rPr>
                <w:i/>
                <w:iCs/>
                <w:color w:val="000000"/>
                <w:sz w:val="24"/>
                <w:szCs w:val="24"/>
                <w:u w:val="single"/>
              </w:rPr>
              <w:t>τις επιδράσεις που επηρεάζουν σε μεγάλο βαθμό τις αποφάσεις των ενδιαφερομένων μερών</w:t>
            </w:r>
            <w:r w:rsidRPr="00D43AC0">
              <w:rPr>
                <w:i/>
                <w:iCs/>
                <w:color w:val="000000"/>
                <w:sz w:val="24"/>
                <w:szCs w:val="24"/>
              </w:rPr>
              <w:t>.</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Βαθμολογία</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Αιτιολόγηση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lang w:val="en-GB"/>
              </w:rPr>
            </w:pPr>
            <w:r w:rsidRPr="00D43AC0">
              <w:rPr>
                <w:b/>
                <w:color w:val="000000"/>
                <w:sz w:val="24"/>
                <w:szCs w:val="24"/>
              </w:rPr>
              <w:t>Επεξήγηση</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0</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Καμία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Δεν παρέχονται σχετικές πληροφορίες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1</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Ασαφείς δηλώσεις</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Δεν διευκρινίζεται στην έκθεση πως η εταιρεία αντιμετώπισε την πρόκληση να συμπεριλάβει (και καλύψει περιεκτικά) ουσιαστικά θέματα για τη λειτουργία του οργανισμού και τον κλάδο που δραστηριοποιείται</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2</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Σαφής αλλά περιορισμένη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Σαφείς αλλά περιορισμένες ενδείξεις για τον προσδιορισμό και κάλυψη των ουσιαστικών, για τον οργανισμό και τον κλάδο που δραστηριοποιείται, θεμάτων</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3</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Εκτενής κάλυψη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Επαρκείς και περιεκτικές ενδείξεις διαχείρισης της ουσιαστικότητας. Η εταιρεία αποτυπώνει με σαφή τρόπο πως επέλεξε και κάλυψε τα ουσιαστικά, για τη λειτουργία και τον κλάδο που δραστηριοποιείται, θέματα</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4</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Πλήρης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Συστηματική διαχείριση της ουσιαστικότητας. Η εταιρεία παρουσιάζει με τρόπο περιεκτικό και συστηματικά οργανωμένο την προσέγγισή της στην επιλογή και κάλυψη των ουσιαστικών, για τη λειτουργία της και τον κλάδο που δραστηριοποιείται, θεμάτων</w:t>
            </w:r>
          </w:p>
        </w:tc>
      </w:tr>
    </w:tbl>
    <w:p w:rsidR="00A86FC7" w:rsidRDefault="005B350B" w:rsidP="00E57044">
      <w:pPr>
        <w:ind w:left="-284" w:right="-334" w:hanging="76"/>
        <w:jc w:val="both"/>
        <w:rPr>
          <w:sz w:val="24"/>
          <w:szCs w:val="24"/>
        </w:rPr>
      </w:pPr>
      <w:r>
        <w:rPr>
          <w:sz w:val="24"/>
          <w:szCs w:val="24"/>
        </w:rPr>
        <w:t xml:space="preserve">Πίνακας 3: </w:t>
      </w:r>
      <w:r w:rsidR="009549F5" w:rsidRPr="00D43AC0">
        <w:rPr>
          <w:sz w:val="24"/>
          <w:szCs w:val="24"/>
        </w:rPr>
        <w:t xml:space="preserve">Ορισμός και μέθοδος αξιολόγησης της αρχής της ουσιαστικότητας </w:t>
      </w:r>
    </w:p>
    <w:p w:rsidR="00E57044" w:rsidRPr="00D43AC0" w:rsidRDefault="00E57044" w:rsidP="00E57044">
      <w:pPr>
        <w:ind w:left="-284" w:right="-334" w:hanging="76"/>
        <w:jc w:val="both"/>
        <w:rPr>
          <w:sz w:val="24"/>
          <w:szCs w:val="24"/>
        </w:rPr>
      </w:pPr>
    </w:p>
    <w:p w:rsidR="00493CEC" w:rsidRPr="00D43AC0" w:rsidRDefault="00493CEC" w:rsidP="009549F5">
      <w:pPr>
        <w:jc w:val="both"/>
        <w:rPr>
          <w:sz w:val="24"/>
          <w:szCs w:val="24"/>
        </w:rPr>
      </w:pPr>
    </w:p>
    <w:p w:rsidR="00493CEC" w:rsidRPr="00D43AC0" w:rsidRDefault="00493CEC" w:rsidP="009549F5">
      <w:pPr>
        <w:jc w:val="both"/>
        <w:rPr>
          <w:sz w:val="24"/>
          <w:szCs w:val="24"/>
        </w:rPr>
      </w:pP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2120"/>
        <w:gridCol w:w="5352"/>
      </w:tblGrid>
      <w:tr w:rsidR="009549F5" w:rsidRPr="00D43AC0" w:rsidTr="00E57044">
        <w:tc>
          <w:tcPr>
            <w:tcW w:w="8928" w:type="dxa"/>
            <w:gridSpan w:val="3"/>
            <w:tcBorders>
              <w:top w:val="single" w:sz="4" w:space="0" w:color="auto"/>
              <w:left w:val="single" w:sz="4" w:space="0" w:color="auto"/>
              <w:bottom w:val="single" w:sz="4" w:space="0" w:color="auto"/>
              <w:right w:val="single" w:sz="4" w:space="0" w:color="auto"/>
            </w:tcBorders>
            <w:vAlign w:val="center"/>
          </w:tcPr>
          <w:p w:rsidR="009549F5" w:rsidRPr="00D43AC0" w:rsidRDefault="00493CEC" w:rsidP="00E57044">
            <w:pPr>
              <w:autoSpaceDE w:val="0"/>
              <w:autoSpaceDN w:val="0"/>
              <w:adjustRightInd w:val="0"/>
              <w:jc w:val="both"/>
              <w:rPr>
                <w:color w:val="000000"/>
                <w:sz w:val="24"/>
                <w:szCs w:val="24"/>
              </w:rPr>
            </w:pPr>
            <w:r w:rsidRPr="00D43AC0">
              <w:rPr>
                <w:b/>
                <w:color w:val="000000"/>
                <w:sz w:val="24"/>
                <w:szCs w:val="24"/>
              </w:rPr>
              <w:lastRenderedPageBreak/>
              <w:t>Α</w:t>
            </w:r>
            <w:r w:rsidR="009549F5" w:rsidRPr="00D43AC0">
              <w:rPr>
                <w:b/>
                <w:color w:val="000000"/>
                <w:sz w:val="24"/>
                <w:szCs w:val="24"/>
              </w:rPr>
              <w:t xml:space="preserve">ξιοπιστία: </w:t>
            </w:r>
            <w:r w:rsidR="009549F5" w:rsidRPr="00D43AC0">
              <w:rPr>
                <w:i/>
                <w:color w:val="000000"/>
                <w:sz w:val="24"/>
                <w:szCs w:val="24"/>
              </w:rPr>
              <w:t xml:space="preserve">Οι εταιρείες πρέπει να πιστοποιούν την ακρίβεια των πληροφοριών του απολογισμού, να διασφαλίζουν ότι τα παρεχόμενα στοιχεία είναι αληθή. Οι πληροφορίες και οι διαδικασίες που χρησιμοποιούνται κατά την κατάρτιση του απολογισμού θα πρέπει να δημοσιοποιούνται </w:t>
            </w:r>
            <w:r w:rsidR="009549F5" w:rsidRPr="00D43AC0">
              <w:rPr>
                <w:i/>
                <w:iCs/>
                <w:color w:val="000000"/>
                <w:sz w:val="24"/>
                <w:szCs w:val="24"/>
                <w:u w:val="single"/>
              </w:rPr>
              <w:t>με τρόπο που μπορούν να εξετάζονται και να αποδεικνύεται η ποιότητα/ουσιαστικότητα των πληροφοριών</w:t>
            </w:r>
            <w:r w:rsidR="009549F5" w:rsidRPr="00D43AC0">
              <w:rPr>
                <w:i/>
                <w:color w:val="000000"/>
                <w:sz w:val="24"/>
                <w:szCs w:val="24"/>
              </w:rPr>
              <w:t>.</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Βαθμολογία</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Αιτιολόγηση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lang w:val="en-GB"/>
              </w:rPr>
            </w:pPr>
            <w:r w:rsidRPr="00D43AC0">
              <w:rPr>
                <w:b/>
                <w:color w:val="000000"/>
                <w:sz w:val="24"/>
                <w:szCs w:val="24"/>
              </w:rPr>
              <w:t>Επεξήγηση</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0</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Καμία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Δεν παρέχονται σχετικές πληροφορίες</w:t>
            </w:r>
          </w:p>
        </w:tc>
      </w:tr>
      <w:tr w:rsidR="009549F5" w:rsidRPr="00D43AC0" w:rsidTr="009549F5">
        <w:trPr>
          <w:trHeight w:val="880"/>
        </w:trPr>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1</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Αξιολόγηση απολογισμού από τρίτους</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 xml:space="preserve">Αξιολόγηση περιεχομένου έκθεσης από εξωτερικό φορέα, </w:t>
            </w:r>
            <w:r w:rsidRPr="00D43AC0">
              <w:rPr>
                <w:i/>
                <w:iCs/>
                <w:color w:val="000000"/>
                <w:sz w:val="24"/>
                <w:szCs w:val="24"/>
                <w:u w:val="single"/>
              </w:rPr>
              <w:t>χωρίς διασφάλιση</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2</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Μερική διασφάλιση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Διασφάλιση μόνο μερικών στοιχείων της έκθεσης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3</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Εκτενής διασφάλιση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Εκτενής διασφάλιση στοιχείων της έκθεσης. Διασφάλιση ουσιαστικών πληροφοριών επίδοσης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4</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Πλήρης διασφάλιση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Διασφάλιση όλων των ουσιαστικών στοιχείων επίδοσης της έκθεσης. Αναφορά του τρόπου με τον οποίο σχεδιάζει ο οργανισμός να αντιμετωπίσει τα σχόλια που αναφέρουν οι ανεξάρτητοι ελεγκτές</w:t>
            </w:r>
          </w:p>
        </w:tc>
      </w:tr>
    </w:tbl>
    <w:p w:rsidR="009549F5" w:rsidRPr="00D43AC0" w:rsidRDefault="005B350B" w:rsidP="009549F5">
      <w:pPr>
        <w:ind w:right="-334" w:hanging="360"/>
        <w:jc w:val="both"/>
        <w:rPr>
          <w:sz w:val="24"/>
          <w:szCs w:val="24"/>
        </w:rPr>
      </w:pPr>
      <w:r>
        <w:rPr>
          <w:sz w:val="24"/>
          <w:szCs w:val="24"/>
        </w:rPr>
        <w:t xml:space="preserve">Πίνακας 4: </w:t>
      </w:r>
      <w:r w:rsidR="009549F5" w:rsidRPr="00D43AC0">
        <w:rPr>
          <w:sz w:val="24"/>
          <w:szCs w:val="24"/>
        </w:rPr>
        <w:t>Ορισμός και μέθοδος αξιολόγησης της αρχής της αξιοπιστίας των πληροφοριών</w:t>
      </w: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p w:rsidR="00493CEC" w:rsidRPr="00D43AC0" w:rsidRDefault="00493CEC" w:rsidP="009549F5">
      <w:pPr>
        <w:ind w:right="-334" w:hanging="360"/>
        <w:jc w:val="both"/>
        <w:rPr>
          <w:sz w:val="24"/>
          <w:szCs w:val="24"/>
        </w:rPr>
      </w:pP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2120"/>
        <w:gridCol w:w="5352"/>
      </w:tblGrid>
      <w:tr w:rsidR="009549F5" w:rsidRPr="00D43AC0" w:rsidTr="00E57044">
        <w:tc>
          <w:tcPr>
            <w:tcW w:w="8928" w:type="dxa"/>
            <w:gridSpan w:val="3"/>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b/>
                <w:color w:val="000000"/>
                <w:sz w:val="24"/>
                <w:szCs w:val="24"/>
              </w:rPr>
            </w:pPr>
            <w:r w:rsidRPr="00D43AC0">
              <w:rPr>
                <w:b/>
                <w:color w:val="000000"/>
                <w:sz w:val="24"/>
                <w:szCs w:val="24"/>
              </w:rPr>
              <w:lastRenderedPageBreak/>
              <w:t xml:space="preserve">‘Λαμβάνοντας υπόψη τα ενδιαφερόμενα μέρη’: </w:t>
            </w:r>
            <w:r w:rsidRPr="00D43AC0">
              <w:rPr>
                <w:i/>
                <w:color w:val="000000"/>
                <w:sz w:val="24"/>
                <w:szCs w:val="24"/>
              </w:rPr>
              <w:t>Ο οργανισμός θα πρέπει να προσδιορίζει τα ενδιαφερόμενα μέρη που επηρεάζονται και επηρεάζουν τη λειτουργία του και να εξηγεί στον απολογισμό με ποιον τρόπο ανταποκρίθηκε σε προσδοκίες - προβληματισμούς που έχουν σχετικά με τη λειτουργία του.</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Βαθμολογία</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rPr>
            </w:pPr>
            <w:r w:rsidRPr="00D43AC0">
              <w:rPr>
                <w:b/>
                <w:color w:val="000000"/>
                <w:sz w:val="24"/>
                <w:szCs w:val="24"/>
              </w:rPr>
              <w:t>Αιτιολόγηση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b/>
                <w:color w:val="000000"/>
                <w:sz w:val="24"/>
                <w:szCs w:val="24"/>
                <w:lang w:val="en-GB"/>
              </w:rPr>
            </w:pPr>
            <w:r w:rsidRPr="00D43AC0">
              <w:rPr>
                <w:b/>
                <w:color w:val="000000"/>
                <w:sz w:val="24"/>
                <w:szCs w:val="24"/>
              </w:rPr>
              <w:t>Επεξήγηση</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0</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Καμία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Δεν παρέχονται σχετικές πληροφορίες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1</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Ασαφείς δηλώσεις</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Σύντομες, ασαφείς αναφορές για την επικοινωνία με τα ενδιαφερόμενα μέρη</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2</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Περιορισμένη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Σαφείς, αλλά περιορισμένες πληροφορίες σχετικά με την επικοινωνία ή τη διαβούλευση με τα ενδιαφερόμενα μέρη</w:t>
            </w:r>
          </w:p>
        </w:tc>
      </w:tr>
      <w:tr w:rsidR="009549F5" w:rsidRPr="00D43AC0" w:rsidTr="009549F5">
        <w:trPr>
          <w:trHeight w:val="936"/>
        </w:trPr>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3</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Εκτενής κάλυψη</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Επαρκείς πληροφορίες πρακτικών αναγνώρισης των ομάδων ενδιαφέροντος του οργανισμού και οργανωμένων πρακτικών διαβούλευσης με αυτές</w:t>
            </w:r>
          </w:p>
        </w:tc>
      </w:tr>
      <w:tr w:rsidR="009549F5" w:rsidRPr="00D43AC0" w:rsidTr="00E57044">
        <w:tc>
          <w:tcPr>
            <w:tcW w:w="1456"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lang w:val="en-GB"/>
              </w:rPr>
            </w:pPr>
            <w:r w:rsidRPr="00D43AC0">
              <w:rPr>
                <w:i/>
                <w:color w:val="000000"/>
                <w:sz w:val="24"/>
                <w:szCs w:val="24"/>
                <w:lang w:val="en-GB"/>
              </w:rPr>
              <w:t>4</w:t>
            </w:r>
          </w:p>
        </w:tc>
        <w:tc>
          <w:tcPr>
            <w:tcW w:w="2120"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center"/>
              <w:rPr>
                <w:i/>
                <w:color w:val="000000"/>
                <w:sz w:val="24"/>
                <w:szCs w:val="24"/>
              </w:rPr>
            </w:pPr>
            <w:r w:rsidRPr="00D43AC0">
              <w:rPr>
                <w:i/>
                <w:color w:val="000000"/>
                <w:sz w:val="24"/>
                <w:szCs w:val="24"/>
              </w:rPr>
              <w:t>Πλήρης αναφορά</w:t>
            </w:r>
          </w:p>
        </w:tc>
        <w:tc>
          <w:tcPr>
            <w:tcW w:w="5352" w:type="dxa"/>
            <w:tcBorders>
              <w:top w:val="single" w:sz="4" w:space="0" w:color="auto"/>
              <w:left w:val="single" w:sz="4" w:space="0" w:color="auto"/>
              <w:bottom w:val="single" w:sz="4" w:space="0" w:color="auto"/>
              <w:right w:val="single" w:sz="4" w:space="0" w:color="auto"/>
            </w:tcBorders>
            <w:vAlign w:val="center"/>
          </w:tcPr>
          <w:p w:rsidR="009549F5" w:rsidRPr="00D43AC0" w:rsidRDefault="009549F5" w:rsidP="00E57044">
            <w:pPr>
              <w:autoSpaceDE w:val="0"/>
              <w:autoSpaceDN w:val="0"/>
              <w:adjustRightInd w:val="0"/>
              <w:jc w:val="both"/>
              <w:rPr>
                <w:i/>
                <w:color w:val="000000"/>
                <w:sz w:val="24"/>
                <w:szCs w:val="24"/>
              </w:rPr>
            </w:pPr>
            <w:r w:rsidRPr="00D43AC0">
              <w:rPr>
                <w:i/>
                <w:color w:val="000000"/>
                <w:sz w:val="24"/>
                <w:szCs w:val="24"/>
              </w:rPr>
              <w:t>Συστηματικές πρακτικές αναγνώρισης, επικοινωνίας και διαβούλευσης με τις ομάδες ενδιαφέροντος του οργανισμού</w:t>
            </w:r>
          </w:p>
        </w:tc>
      </w:tr>
    </w:tbl>
    <w:p w:rsidR="009549F5" w:rsidRPr="00D43AC0" w:rsidRDefault="005B350B" w:rsidP="009549F5">
      <w:pPr>
        <w:ind w:left="-360" w:right="-334"/>
        <w:jc w:val="both"/>
        <w:rPr>
          <w:sz w:val="24"/>
          <w:szCs w:val="24"/>
        </w:rPr>
      </w:pPr>
      <w:r>
        <w:rPr>
          <w:sz w:val="24"/>
          <w:szCs w:val="24"/>
        </w:rPr>
        <w:t xml:space="preserve">Πίνακας 5: </w:t>
      </w:r>
      <w:r w:rsidR="009549F5" w:rsidRPr="00D43AC0">
        <w:rPr>
          <w:sz w:val="24"/>
          <w:szCs w:val="24"/>
        </w:rPr>
        <w:t xml:space="preserve">Ορισμός και μέθοδος αξιολόγησης της συμπερίληψης των ενδιαφερομένων μερών </w:t>
      </w:r>
    </w:p>
    <w:p w:rsidR="009549F5" w:rsidRPr="00D43AC0" w:rsidRDefault="009549F5" w:rsidP="009549F5">
      <w:pPr>
        <w:jc w:val="both"/>
        <w:rPr>
          <w:sz w:val="24"/>
          <w:szCs w:val="24"/>
        </w:rPr>
      </w:pPr>
    </w:p>
    <w:p w:rsidR="00E50715" w:rsidRPr="00D43AC0" w:rsidRDefault="00E50715" w:rsidP="00E50715">
      <w:pPr>
        <w:jc w:val="both"/>
        <w:rPr>
          <w:rFonts w:eastAsia="Calibri" w:cs="Times New Roman"/>
          <w:sz w:val="24"/>
          <w:szCs w:val="24"/>
        </w:rPr>
      </w:pPr>
    </w:p>
    <w:p w:rsidR="00A86FC7" w:rsidRPr="00D43AC0" w:rsidRDefault="00A86FC7" w:rsidP="00E50715">
      <w:pPr>
        <w:jc w:val="both"/>
        <w:rPr>
          <w:rFonts w:eastAsia="Calibri" w:cs="Times New Roman"/>
          <w:sz w:val="24"/>
          <w:szCs w:val="24"/>
        </w:rPr>
      </w:pPr>
    </w:p>
    <w:p w:rsidR="00A86FC7" w:rsidRPr="00D43AC0" w:rsidRDefault="00A86FC7" w:rsidP="00E50715">
      <w:pPr>
        <w:jc w:val="both"/>
        <w:rPr>
          <w:rFonts w:eastAsia="Calibri" w:cs="Times New Roman"/>
          <w:sz w:val="24"/>
          <w:szCs w:val="24"/>
        </w:rPr>
      </w:pPr>
    </w:p>
    <w:p w:rsidR="00A86FC7" w:rsidRPr="00D43AC0" w:rsidRDefault="00A86FC7" w:rsidP="00E50715">
      <w:pPr>
        <w:jc w:val="both"/>
        <w:rPr>
          <w:rFonts w:eastAsia="Calibri" w:cs="Times New Roman"/>
          <w:sz w:val="24"/>
          <w:szCs w:val="24"/>
        </w:rPr>
      </w:pPr>
    </w:p>
    <w:p w:rsidR="00A86FC7" w:rsidRDefault="00A86FC7" w:rsidP="00E50715">
      <w:pPr>
        <w:jc w:val="both"/>
        <w:rPr>
          <w:rFonts w:eastAsia="Calibri" w:cs="Times New Roman"/>
          <w:sz w:val="24"/>
          <w:szCs w:val="24"/>
        </w:rPr>
      </w:pPr>
    </w:p>
    <w:p w:rsidR="008B34EB" w:rsidRPr="00D43AC0" w:rsidRDefault="008B34EB" w:rsidP="00E50715">
      <w:pPr>
        <w:jc w:val="both"/>
        <w:rPr>
          <w:rFonts w:eastAsia="Calibri" w:cs="Times New Roman"/>
          <w:sz w:val="24"/>
          <w:szCs w:val="24"/>
        </w:rPr>
      </w:pPr>
    </w:p>
    <w:p w:rsidR="00A86FC7" w:rsidRPr="00D43AC0" w:rsidRDefault="00A86FC7" w:rsidP="00E50715">
      <w:pPr>
        <w:jc w:val="both"/>
        <w:rPr>
          <w:rFonts w:eastAsia="Calibri" w:cs="Times New Roman"/>
          <w:sz w:val="24"/>
          <w:szCs w:val="24"/>
        </w:rPr>
      </w:pPr>
    </w:p>
    <w:p w:rsidR="00A86FC7" w:rsidRPr="00D43AC0" w:rsidRDefault="00A86FC7" w:rsidP="00E50715">
      <w:pPr>
        <w:jc w:val="both"/>
        <w:rPr>
          <w:rFonts w:eastAsia="Calibri" w:cs="Times New Roman"/>
          <w:sz w:val="24"/>
          <w:szCs w:val="24"/>
        </w:rPr>
      </w:pPr>
    </w:p>
    <w:p w:rsidR="00A86FC7" w:rsidRPr="00D43AC0" w:rsidRDefault="00A86FC7" w:rsidP="00E50715">
      <w:pPr>
        <w:jc w:val="both"/>
        <w:rPr>
          <w:rFonts w:eastAsia="Calibri" w:cs="Times New Roman"/>
          <w:sz w:val="24"/>
          <w:szCs w:val="24"/>
        </w:rPr>
      </w:pPr>
    </w:p>
    <w:p w:rsidR="00350F54" w:rsidRPr="00D43AC0" w:rsidRDefault="00FF0E6A" w:rsidP="005C6054">
      <w:pPr>
        <w:spacing w:line="480" w:lineRule="auto"/>
        <w:rPr>
          <w:b/>
          <w:sz w:val="24"/>
          <w:szCs w:val="24"/>
        </w:rPr>
      </w:pPr>
      <w:r w:rsidRPr="00D43AC0">
        <w:rPr>
          <w:b/>
          <w:sz w:val="24"/>
          <w:szCs w:val="24"/>
        </w:rPr>
        <w:lastRenderedPageBreak/>
        <w:t>Συνολικά α</w:t>
      </w:r>
      <w:r w:rsidR="00957126" w:rsidRPr="00D43AC0">
        <w:rPr>
          <w:b/>
          <w:sz w:val="24"/>
          <w:szCs w:val="24"/>
        </w:rPr>
        <w:t>ποτελέσματα αξιολόγησης ελληνικών εκθέσεων ΕΚΕ</w:t>
      </w:r>
      <w:r w:rsidR="00D43AC0">
        <w:rPr>
          <w:b/>
          <w:sz w:val="24"/>
          <w:szCs w:val="24"/>
        </w:rPr>
        <w:t>: Παρατηρήσεις και σχόλια</w:t>
      </w:r>
    </w:p>
    <w:p w:rsidR="00493CEC" w:rsidRPr="00D43AC0" w:rsidRDefault="006335F9" w:rsidP="008B34EB">
      <w:pPr>
        <w:spacing w:line="360" w:lineRule="auto"/>
        <w:rPr>
          <w:sz w:val="24"/>
          <w:szCs w:val="24"/>
        </w:rPr>
      </w:pPr>
      <w:r w:rsidRPr="006335F9">
        <w:rPr>
          <w:sz w:val="24"/>
          <w:szCs w:val="24"/>
        </w:rPr>
        <w:drawing>
          <wp:inline distT="0" distB="0" distL="0" distR="0">
            <wp:extent cx="5232572" cy="3150973"/>
            <wp:effectExtent l="19050" t="0" r="25228" b="0"/>
            <wp:docPr id="6"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B34EB" w:rsidRPr="005B350B" w:rsidRDefault="005B350B" w:rsidP="008B34EB">
      <w:pPr>
        <w:spacing w:line="360" w:lineRule="auto"/>
        <w:jc w:val="center"/>
        <w:rPr>
          <w:rFonts w:cs="Arial"/>
          <w:i/>
          <w:sz w:val="24"/>
          <w:szCs w:val="24"/>
        </w:rPr>
      </w:pPr>
      <w:r w:rsidRPr="005B350B">
        <w:rPr>
          <w:rFonts w:cs="Arial"/>
          <w:i/>
          <w:sz w:val="24"/>
          <w:szCs w:val="24"/>
        </w:rPr>
        <w:t xml:space="preserve">Σχήμα 8: </w:t>
      </w:r>
      <w:r w:rsidR="008B34EB" w:rsidRPr="005B350B">
        <w:rPr>
          <w:rFonts w:cs="Arial"/>
          <w:i/>
          <w:sz w:val="24"/>
          <w:szCs w:val="24"/>
        </w:rPr>
        <w:t>Η βαθμολογική κατάταξη των κορυφαίων απολογισμών</w:t>
      </w:r>
    </w:p>
    <w:p w:rsidR="00C47717" w:rsidRPr="00D43AC0" w:rsidRDefault="00C840DE" w:rsidP="00C47717">
      <w:pPr>
        <w:jc w:val="both"/>
        <w:rPr>
          <w:rFonts w:cs="Arial"/>
          <w:sz w:val="24"/>
          <w:szCs w:val="24"/>
        </w:rPr>
      </w:pPr>
      <w:r w:rsidRPr="00D43AC0">
        <w:rPr>
          <w:rFonts w:cs="Arial"/>
          <w:sz w:val="24"/>
          <w:szCs w:val="24"/>
        </w:rPr>
        <w:t>Η αξιολόγηση</w:t>
      </w:r>
      <w:r w:rsidR="00FF0E6A" w:rsidRPr="00D43AC0">
        <w:rPr>
          <w:rFonts w:cs="Arial"/>
          <w:sz w:val="24"/>
          <w:szCs w:val="24"/>
        </w:rPr>
        <w:t xml:space="preserve"> των εκθέσεων με έτος αναφοράς το 2013 </w:t>
      </w:r>
      <w:r w:rsidR="00CB63E5" w:rsidRPr="00D43AC0">
        <w:rPr>
          <w:rFonts w:cs="Arial"/>
          <w:sz w:val="24"/>
          <w:szCs w:val="24"/>
        </w:rPr>
        <w:t>αναδεικνύουν τη σχετική ωρίμανση των πρακτικών κατάρτισης και δημοσίευσης μη-χρηματοοικο</w:t>
      </w:r>
      <w:r w:rsidR="00B04BD6" w:rsidRPr="00D43AC0">
        <w:rPr>
          <w:rFonts w:cs="Arial"/>
          <w:sz w:val="24"/>
          <w:szCs w:val="24"/>
        </w:rPr>
        <w:t>νομικών πληροφοριών ενός μικρού αριθμού επιχειρήσεων στην Ελλάδα. Τα συνολικά αποτελέσματα κυμαίνονται μεταξύ 6</w:t>
      </w:r>
      <w:r w:rsidR="006335F9" w:rsidRPr="006335F9">
        <w:rPr>
          <w:rFonts w:cs="Arial"/>
          <w:sz w:val="24"/>
          <w:szCs w:val="24"/>
        </w:rPr>
        <w:t>5</w:t>
      </w:r>
      <w:r w:rsidR="00B04BD6" w:rsidRPr="00D43AC0">
        <w:rPr>
          <w:rFonts w:cs="Arial"/>
          <w:sz w:val="24"/>
          <w:szCs w:val="24"/>
        </w:rPr>
        <w:t xml:space="preserve">% και 22%, με το μέσο όρο βαθμολογικής αξιολόγησης να είναι 34%. Ο αριθμός των απολογισμών παραμένει σημαντικά χαμηλός, αν κανείς αναλογιστεί ότι λιγότερο από το 50% των μελών του Ελληνικού Δικτύου ΕΚΕ δημοσιεύει συναφή απολογισμό. Ωστόσο, η πληρότητα, η σαφήνεια και η </w:t>
      </w:r>
      <w:r w:rsidRPr="00D43AC0">
        <w:rPr>
          <w:rFonts w:cs="Arial"/>
          <w:sz w:val="24"/>
          <w:szCs w:val="24"/>
        </w:rPr>
        <w:t>περιεκτικότητα των πληροφοριών παρουσιάζουν στοιχεία διαχρονικής βελτίωσης και συμβάλλουν προς την πληρέστερη ενημέρωση των εταίρων της μεμονωμένης επιχείρησης σχετικά με το σχεδιασμό, τις πρακτικές και την επίδοσή της με άξονα την ΕΚΕ.</w:t>
      </w:r>
    </w:p>
    <w:p w:rsidR="00DE0017" w:rsidRPr="00D43AC0" w:rsidRDefault="00DE0017" w:rsidP="00DE0017">
      <w:pPr>
        <w:jc w:val="both"/>
        <w:rPr>
          <w:rFonts w:cs="Arial"/>
          <w:sz w:val="24"/>
          <w:szCs w:val="24"/>
        </w:rPr>
      </w:pPr>
      <w:r w:rsidRPr="00D43AC0">
        <w:rPr>
          <w:rFonts w:cs="Arial"/>
          <w:sz w:val="24"/>
          <w:szCs w:val="24"/>
        </w:rPr>
        <w:t xml:space="preserve">Το μήνυμα της Διοίκησης στους περισσότερους απολογισμούς παρέχει ένα ικανοποιητικό επίπεδο γενικών πληροφοριών, αλλά μια εκτενέστερη αποτύπωση των επιμέρους παραμέτρων που υποδεικνύονται από τις Οδηγίες GRI προς κάλυψη θα λειτουργούσε θετικά προς την κατεύθυνση της πληρότητα της συγκεκριμένης εισαγωγικής ενότητας. Ομοίως, μια σαφέστερη περιγραφή των κρισιμότερων κινδύνων και ευκαιριών που ανακύπτουν από τις προκλήσεις της αειφόρου ανάπτυξης και την ενσωμάτωση της ΕΚΕ στον οργανισμό, θα πρόσθετε σημαντική αξία στην συνολική ποιότητα των εκθέσεων και θα ενίσχυε τη δήλωση δέσμευσης </w:t>
      </w:r>
      <w:r w:rsidRPr="00D43AC0">
        <w:rPr>
          <w:rFonts w:cs="Arial"/>
          <w:sz w:val="24"/>
          <w:szCs w:val="24"/>
        </w:rPr>
        <w:lastRenderedPageBreak/>
        <w:t xml:space="preserve">της κάθε εταιρείας να συμβάλλει στο συγκεκριμένο μοντέλο ανάπτυξης. Μια τέτοια περιγραφή κινδύνων και ευκαιριών προτείνεται να αποτελεί αυτοτελή ενότητα σε επερχόμενες εκθέσεις και να ακολουθούν το εισαγωγικό μήνυμα της Διοίκησης, ώστε ο αναγνώστης (βλ. ενδιαφερόμενο μέρος) να αποκομίζει από τις αρχικές ενότητες της έκθεσης μια συνοπτική, αλλά εμπεριστατωμένη, ανάλυση του εταιρικού οράματος και των αξόνων ΕΚΕ που εστιάζει ο οργανισμός. Οι Οδηγίες GRI παρέχουν ένα πλαίσιο καθοδήγησης για την περιγραφή αυτών των στοιχείων με τρόπο σαφή και περιεκτικό, ενώ η χρήση διαγραμμάτων ή/και σχηματικές παρουσιάσεις μπορούν να επικοινωνήσουν στον αναγνώστη τις κρίσιμες αυτές πληροφορίες εύστοχα και αποτελεσματικά. </w:t>
      </w:r>
    </w:p>
    <w:p w:rsidR="008D4FAD" w:rsidRPr="00D43AC0" w:rsidRDefault="004A675B" w:rsidP="008D4FAD">
      <w:pPr>
        <w:jc w:val="both"/>
        <w:rPr>
          <w:rFonts w:cs="Arial"/>
          <w:sz w:val="24"/>
          <w:szCs w:val="24"/>
        </w:rPr>
      </w:pPr>
      <w:r w:rsidRPr="00D43AC0">
        <w:rPr>
          <w:rFonts w:cs="Arial"/>
          <w:sz w:val="24"/>
          <w:szCs w:val="24"/>
        </w:rPr>
        <w:t xml:space="preserve">Τυπικές πληροφορίες της έκθεσης (προφίλ οργανισμού και πληροφορίες μηχανισμών εταιρικής διακυβέρνησης) αποτυπώνονται σε ένα ικανοποιητικό επίπεδο, θίγοντας (ανεξαρτήτως του επιπέδου κάλυψης) τα περισσότερα από τα σχετικά στοιχεία που προτείνονται από τις Οδηγίες GRI. Θα ήταν προς τη σωστή κατεύθυνση εάν οι απολογισμοί της εταιρείας στο μέλλον αποτυπώνουν με περισσότερη σαφήνεια τη διαδικασία/μεθοδολογία που ακολουθήθηκε για τον προσδιορισμό των θεμάτων που επιλέχθηκαν προς κάλυψη (κριτήριο αξιολόγησης GRI 3.5). </w:t>
      </w:r>
      <w:r w:rsidR="008D4FAD" w:rsidRPr="00D43AC0">
        <w:rPr>
          <w:rFonts w:cs="Arial"/>
          <w:sz w:val="24"/>
          <w:szCs w:val="24"/>
        </w:rPr>
        <w:t>Μια έρευνα με στόχο την αποσαφήνιση των πληροφοριών (στοιχείων/δεικτών GRI) που κατά τη δική τους αντίληψη θεωρούνται κρίσιμες και θα έπρεπε να συμπεριλαμβάνονται στην έκθεση ΕΚΕ της ΕΛΒΑΛ, όπως επίσης και την άποψή τους για τις πρακτικές που ήδη εφαρμόζει η εταιρεία και πως αυτές μπορούν να βελτιωθούν σύμφωνα με δικές τους προτάσεις-κατευθύνσεις. Με αυτό τον τρόπο θα ενισχυθεί ο διάλογος με τις ομάδες ενδιαφέροντος του οργανισμού και θα επιτευχθεί τεκμηριωμένα η ουσιαστικότητα (materiality) των θεμάτων που θα καλύπτει επερχόμενη έκθεση, ενώ επίσης θα διαθέτει σαφή πληροφόρηση η εταιρεία σχετικά με τα θέματα που ενδιαφέρουν περισσότερο τα διάφορα ενδιαφερόμενα μέρη, με αποτέλεσμα να μπορέσει να κατευθύνει τις δράσεις της στοχευμένα προς την σωστή κατεύθυνση.</w:t>
      </w:r>
    </w:p>
    <w:p w:rsidR="004A675B" w:rsidRPr="00D43AC0" w:rsidRDefault="004A675B" w:rsidP="004A675B">
      <w:pPr>
        <w:jc w:val="both"/>
        <w:rPr>
          <w:rFonts w:cs="Arial"/>
          <w:sz w:val="24"/>
          <w:szCs w:val="24"/>
        </w:rPr>
      </w:pPr>
      <w:r w:rsidRPr="00D43AC0">
        <w:rPr>
          <w:rFonts w:cs="Arial"/>
          <w:sz w:val="24"/>
          <w:szCs w:val="24"/>
        </w:rPr>
        <w:t>Περιθώρια βελτίωσης υπάρχουν επίσης στην αποτύπωση των τεχνικών εκτίμησης-υπολογισμού των επιμέρους κρίσιμων περιβαλλοντικών και κοινωνικών δεικτών επίδοσης (κριτήριο αξιολόγησης GRI 3.9). Αυτό θα μπορούσε να εύστοχα να επιτευχθεί με την παράθεση ενός πίνακα (π.χ. με τίτλο “Πίνακας τεχνικών εκτίμησης – υπολογισμού επίδοσης της ΕΛΒΑΛ”) στο τέλος της έκθεσης πριν από το ευρετήριο GRI, όπου συγκεντρωτικά θα παρουσιάζεται η προσέγγιση της εταιρείας για τον υπολογισμό της επίδοσής της και τεκμηριωμένα θα αποτυπώνεται το σύστημα μη-χρηματοοικονομικής (περιβαλλοντικής και κοινωνικής) λογιστικής που έχει αναπτύξει.</w:t>
      </w:r>
    </w:p>
    <w:p w:rsidR="00C47717" w:rsidRPr="00D43AC0" w:rsidRDefault="008D4FAD" w:rsidP="00C47717">
      <w:pPr>
        <w:jc w:val="both"/>
        <w:rPr>
          <w:rFonts w:cs="Arial"/>
          <w:sz w:val="24"/>
          <w:szCs w:val="24"/>
        </w:rPr>
      </w:pPr>
      <w:r w:rsidRPr="00D43AC0">
        <w:rPr>
          <w:rFonts w:cs="Arial"/>
          <w:sz w:val="24"/>
          <w:szCs w:val="24"/>
        </w:rPr>
        <w:t>Η οικονομική επίδοση αποτυπώνεται από</w:t>
      </w:r>
      <w:r w:rsidR="00C47717" w:rsidRPr="00D43AC0">
        <w:rPr>
          <w:rFonts w:cs="Arial"/>
          <w:sz w:val="24"/>
          <w:szCs w:val="24"/>
        </w:rPr>
        <w:t xml:space="preserve"> μια σειρά από βασικά στοιχεία, καλύπτοντας επαρκώς </w:t>
      </w:r>
      <w:r w:rsidRPr="00D43AC0">
        <w:rPr>
          <w:rFonts w:cs="Arial"/>
          <w:sz w:val="24"/>
          <w:szCs w:val="24"/>
        </w:rPr>
        <w:t>σημαντικές πτυχές της.</w:t>
      </w:r>
      <w:r w:rsidR="00C47717" w:rsidRPr="00D43AC0">
        <w:rPr>
          <w:rFonts w:cs="Arial"/>
          <w:sz w:val="24"/>
          <w:szCs w:val="24"/>
        </w:rPr>
        <w:t xml:space="preserve"> Ωστόσο, </w:t>
      </w:r>
      <w:r w:rsidRPr="00D43AC0">
        <w:rPr>
          <w:rFonts w:cs="Arial"/>
          <w:sz w:val="24"/>
          <w:szCs w:val="24"/>
        </w:rPr>
        <w:t xml:space="preserve">θα πρέπει να δοθεί έμφαση </w:t>
      </w:r>
      <w:r w:rsidRPr="00D43AC0">
        <w:rPr>
          <w:rFonts w:cs="Arial"/>
          <w:sz w:val="24"/>
          <w:szCs w:val="24"/>
        </w:rPr>
        <w:lastRenderedPageBreak/>
        <w:t>και να καλυφθεί με συνέπεια, σύμφωνα και με τη</w:t>
      </w:r>
      <w:r w:rsidR="00C47717" w:rsidRPr="00D43AC0">
        <w:rPr>
          <w:rFonts w:cs="Arial"/>
          <w:sz w:val="24"/>
          <w:szCs w:val="24"/>
        </w:rPr>
        <w:t xml:space="preserve"> φύση των δραστηριοτήτων της εταιρείας, </w:t>
      </w:r>
      <w:r w:rsidRPr="00D43AC0">
        <w:rPr>
          <w:rFonts w:cs="Arial"/>
          <w:sz w:val="24"/>
          <w:szCs w:val="24"/>
        </w:rPr>
        <w:t>η</w:t>
      </w:r>
      <w:r w:rsidR="00C47717" w:rsidRPr="00D43AC0">
        <w:rPr>
          <w:rFonts w:cs="Arial"/>
          <w:sz w:val="24"/>
          <w:szCs w:val="24"/>
        </w:rPr>
        <w:t xml:space="preserve"> περιγραφή χρηματοοικονομικών κινδύνων και ευκαιριών που </w:t>
      </w:r>
      <w:r w:rsidRPr="00D43AC0">
        <w:rPr>
          <w:rFonts w:cs="Arial"/>
          <w:sz w:val="24"/>
          <w:szCs w:val="24"/>
        </w:rPr>
        <w:t>ανακύπτουν</w:t>
      </w:r>
      <w:r w:rsidR="00C47717" w:rsidRPr="00D43AC0">
        <w:rPr>
          <w:rFonts w:cs="Arial"/>
          <w:sz w:val="24"/>
          <w:szCs w:val="24"/>
        </w:rPr>
        <w:t xml:space="preserve"> από </w:t>
      </w:r>
      <w:r w:rsidRPr="00D43AC0">
        <w:rPr>
          <w:rFonts w:cs="Arial"/>
          <w:sz w:val="24"/>
          <w:szCs w:val="24"/>
        </w:rPr>
        <w:t>το παγκόσμιο πρόβλημα της</w:t>
      </w:r>
      <w:r w:rsidR="00C47717" w:rsidRPr="00D43AC0">
        <w:rPr>
          <w:rFonts w:cs="Arial"/>
          <w:sz w:val="24"/>
          <w:szCs w:val="24"/>
        </w:rPr>
        <w:t xml:space="preserve"> κλιματική</w:t>
      </w:r>
      <w:r w:rsidRPr="00D43AC0">
        <w:rPr>
          <w:rFonts w:cs="Arial"/>
          <w:sz w:val="24"/>
          <w:szCs w:val="24"/>
        </w:rPr>
        <w:t>ς</w:t>
      </w:r>
      <w:r w:rsidR="00C47717" w:rsidRPr="00D43AC0">
        <w:rPr>
          <w:rFonts w:cs="Arial"/>
          <w:sz w:val="24"/>
          <w:szCs w:val="24"/>
        </w:rPr>
        <w:t xml:space="preserve"> αλλαγή</w:t>
      </w:r>
      <w:r w:rsidRPr="00D43AC0">
        <w:rPr>
          <w:rFonts w:cs="Arial"/>
          <w:sz w:val="24"/>
          <w:szCs w:val="24"/>
        </w:rPr>
        <w:t>ς</w:t>
      </w:r>
      <w:r w:rsidR="00C47717" w:rsidRPr="00D43AC0">
        <w:rPr>
          <w:rFonts w:cs="Arial"/>
          <w:sz w:val="24"/>
          <w:szCs w:val="24"/>
        </w:rPr>
        <w:t xml:space="preserve"> </w:t>
      </w:r>
      <w:r w:rsidRPr="00D43AC0">
        <w:rPr>
          <w:rFonts w:cs="Arial"/>
          <w:sz w:val="24"/>
          <w:szCs w:val="24"/>
        </w:rPr>
        <w:t>που επηρεάζει το σύνολο της παγκόσμιας οικονομίας</w:t>
      </w:r>
      <w:r w:rsidR="00C47717" w:rsidRPr="00D43AC0">
        <w:rPr>
          <w:rFonts w:cs="Arial"/>
          <w:sz w:val="24"/>
          <w:szCs w:val="24"/>
        </w:rPr>
        <w:t xml:space="preserve">. </w:t>
      </w:r>
    </w:p>
    <w:p w:rsidR="00C47717" w:rsidRPr="00D43AC0" w:rsidRDefault="00C47717" w:rsidP="00C47717">
      <w:pPr>
        <w:jc w:val="both"/>
        <w:rPr>
          <w:rFonts w:cs="Arial"/>
          <w:sz w:val="24"/>
          <w:szCs w:val="24"/>
        </w:rPr>
      </w:pPr>
      <w:r w:rsidRPr="00D43AC0">
        <w:rPr>
          <w:rFonts w:cs="Arial"/>
          <w:sz w:val="24"/>
          <w:szCs w:val="24"/>
        </w:rPr>
        <w:t>Η περιβαλλοντική επίδοση αποτυπώνεται με τρόπο σχετικά ελλιπή</w:t>
      </w:r>
      <w:r w:rsidR="00683EE2" w:rsidRPr="00D43AC0">
        <w:rPr>
          <w:rFonts w:cs="Arial"/>
          <w:sz w:val="24"/>
          <w:szCs w:val="24"/>
        </w:rPr>
        <w:t xml:space="preserve"> στους περισσότερους απολογισμούς</w:t>
      </w:r>
      <w:r w:rsidRPr="00D43AC0">
        <w:rPr>
          <w:rFonts w:cs="Arial"/>
          <w:sz w:val="24"/>
          <w:szCs w:val="24"/>
        </w:rPr>
        <w:t xml:space="preserve">, δεδομένης και της φύσης των παραγωγικών δραστηριοτήτων της </w:t>
      </w:r>
      <w:r w:rsidR="00683EE2" w:rsidRPr="00D43AC0">
        <w:rPr>
          <w:rFonts w:cs="Arial"/>
          <w:sz w:val="24"/>
          <w:szCs w:val="24"/>
        </w:rPr>
        <w:t xml:space="preserve">κάθε </w:t>
      </w:r>
      <w:r w:rsidRPr="00D43AC0">
        <w:rPr>
          <w:rFonts w:cs="Arial"/>
          <w:sz w:val="24"/>
          <w:szCs w:val="24"/>
        </w:rPr>
        <w:t xml:space="preserve">εταιρείας. </w:t>
      </w:r>
      <w:r w:rsidR="00683EE2" w:rsidRPr="00D43AC0">
        <w:rPr>
          <w:rFonts w:cs="Arial"/>
          <w:sz w:val="24"/>
          <w:szCs w:val="24"/>
        </w:rPr>
        <w:t>Βασικοί δ</w:t>
      </w:r>
      <w:r w:rsidRPr="00D43AC0">
        <w:rPr>
          <w:rFonts w:cs="Arial"/>
          <w:sz w:val="24"/>
          <w:szCs w:val="24"/>
        </w:rPr>
        <w:t>είκτες στους οποίους θα μπορούσε να δοθεί είτε μεγαλύτερη βαρύτητα  είτε προτεραιότητα μελλοντικά αφορούν: τη συνολική ποσότητα βασικών πρώτων υλών που χρησιμοποιούνται στην παραγωγή, πρακτικές</w:t>
      </w:r>
      <w:r w:rsidR="00683EE2" w:rsidRPr="00D43AC0">
        <w:rPr>
          <w:rFonts w:cs="Arial"/>
          <w:sz w:val="24"/>
          <w:szCs w:val="24"/>
        </w:rPr>
        <w:t xml:space="preserve"> και ποσοτικά στοιχεία ενεργειακής κατανάλωσης</w:t>
      </w:r>
      <w:r w:rsidRPr="00D43AC0">
        <w:rPr>
          <w:rFonts w:cs="Arial"/>
          <w:sz w:val="24"/>
          <w:szCs w:val="24"/>
        </w:rPr>
        <w:t xml:space="preserve">, </w:t>
      </w:r>
      <w:r w:rsidR="00683EE2" w:rsidRPr="00D43AC0">
        <w:rPr>
          <w:rFonts w:cs="Arial"/>
          <w:sz w:val="24"/>
          <w:szCs w:val="24"/>
        </w:rPr>
        <w:t>η διαχείριση αποβλήτων</w:t>
      </w:r>
      <w:r w:rsidRPr="00D43AC0">
        <w:rPr>
          <w:rFonts w:cs="Arial"/>
          <w:sz w:val="24"/>
          <w:szCs w:val="24"/>
        </w:rPr>
        <w:t xml:space="preserve"> καθώς και η παράθεση περιβαλλοντικών επιδράσεων από τη μεταφορά προϊόντων και υλικών που χρησιμοποιούνται κατά τις δραστηριότητες του οργανισμού αλλά και τις μετακινήσει</w:t>
      </w:r>
      <w:r w:rsidR="00683EE2" w:rsidRPr="00D43AC0">
        <w:rPr>
          <w:rFonts w:cs="Arial"/>
          <w:sz w:val="24"/>
          <w:szCs w:val="24"/>
        </w:rPr>
        <w:t>ς του εργατικού δυναμικού</w:t>
      </w:r>
      <w:r w:rsidRPr="00D43AC0">
        <w:rPr>
          <w:rFonts w:cs="Arial"/>
          <w:sz w:val="24"/>
          <w:szCs w:val="24"/>
        </w:rPr>
        <w:t>.</w:t>
      </w:r>
    </w:p>
    <w:p w:rsidR="00C47717" w:rsidRPr="00D43AC0" w:rsidRDefault="00C47717" w:rsidP="00C47717">
      <w:pPr>
        <w:jc w:val="both"/>
        <w:rPr>
          <w:rFonts w:cs="Arial"/>
          <w:sz w:val="24"/>
          <w:szCs w:val="24"/>
        </w:rPr>
      </w:pPr>
      <w:r w:rsidRPr="00D43AC0">
        <w:rPr>
          <w:rFonts w:cs="Arial"/>
          <w:sz w:val="24"/>
          <w:szCs w:val="24"/>
        </w:rPr>
        <w:t xml:space="preserve">Η κοινωνική επίδοση στη βάση των δεικτών GRI καλύπτεται </w:t>
      </w:r>
      <w:r w:rsidR="00683EE2" w:rsidRPr="00D43AC0">
        <w:rPr>
          <w:rFonts w:cs="Arial"/>
          <w:sz w:val="24"/>
          <w:szCs w:val="24"/>
        </w:rPr>
        <w:t xml:space="preserve">στους απολογισμούς </w:t>
      </w:r>
      <w:r w:rsidRPr="00D43AC0">
        <w:rPr>
          <w:rFonts w:cs="Arial"/>
          <w:sz w:val="24"/>
          <w:szCs w:val="24"/>
        </w:rPr>
        <w:t xml:space="preserve">με τρόπο </w:t>
      </w:r>
      <w:r w:rsidR="00683EE2" w:rsidRPr="00D43AC0">
        <w:rPr>
          <w:rFonts w:cs="Arial"/>
          <w:sz w:val="24"/>
          <w:szCs w:val="24"/>
        </w:rPr>
        <w:t>που δίνει έμφαση στις πτυχές που αναφέρονται σε εργασιακές πρακτικές και την υπευθυνότητα</w:t>
      </w:r>
      <w:r w:rsidR="00DE0017" w:rsidRPr="00D43AC0">
        <w:rPr>
          <w:rFonts w:cs="Arial"/>
          <w:sz w:val="24"/>
          <w:szCs w:val="24"/>
        </w:rPr>
        <w:t xml:space="preserve"> για τα προσφερόμενα προϊόντα/υπηρεσίες</w:t>
      </w:r>
      <w:r w:rsidRPr="00D43AC0">
        <w:rPr>
          <w:rFonts w:cs="Arial"/>
          <w:sz w:val="24"/>
          <w:szCs w:val="24"/>
        </w:rPr>
        <w:t xml:space="preserve">. </w:t>
      </w:r>
      <w:r w:rsidR="00DE0017" w:rsidRPr="00D43AC0">
        <w:rPr>
          <w:rFonts w:cs="Arial"/>
          <w:sz w:val="24"/>
          <w:szCs w:val="24"/>
        </w:rPr>
        <w:t>Μελλοντικά</w:t>
      </w:r>
      <w:r w:rsidRPr="00D43AC0">
        <w:rPr>
          <w:rFonts w:cs="Arial"/>
          <w:sz w:val="24"/>
          <w:szCs w:val="24"/>
        </w:rPr>
        <w:t xml:space="preserve"> θα ήταν εύστοχο </w:t>
      </w:r>
      <w:r w:rsidR="00DE0017" w:rsidRPr="00D43AC0">
        <w:rPr>
          <w:rFonts w:cs="Arial"/>
          <w:sz w:val="24"/>
          <w:szCs w:val="24"/>
        </w:rPr>
        <w:t xml:space="preserve">οι επιχειρήσεις να </w:t>
      </w:r>
      <w:r w:rsidRPr="00D43AC0">
        <w:rPr>
          <w:rFonts w:cs="Arial"/>
          <w:sz w:val="24"/>
          <w:szCs w:val="24"/>
        </w:rPr>
        <w:t xml:space="preserve">δίνουν έμφαση και να παρέχουν εκτενέστερη κάλυψη, σύμφωνα με τη φύση των δραστηριοτήτων </w:t>
      </w:r>
      <w:r w:rsidR="00DE0017" w:rsidRPr="00D43AC0">
        <w:rPr>
          <w:rFonts w:cs="Arial"/>
          <w:sz w:val="24"/>
          <w:szCs w:val="24"/>
        </w:rPr>
        <w:t xml:space="preserve">τους </w:t>
      </w:r>
      <w:r w:rsidRPr="00D43AC0">
        <w:rPr>
          <w:rFonts w:cs="Arial"/>
          <w:sz w:val="24"/>
          <w:szCs w:val="24"/>
        </w:rPr>
        <w:t>αλλά και τη σύγχρονη ελληνική πραγματικότητα</w:t>
      </w:r>
      <w:r w:rsidR="00DE0017" w:rsidRPr="00D43AC0">
        <w:rPr>
          <w:rFonts w:cs="Arial"/>
          <w:sz w:val="24"/>
          <w:szCs w:val="24"/>
        </w:rPr>
        <w:t xml:space="preserve">, στις </w:t>
      </w:r>
      <w:r w:rsidRPr="00D43AC0">
        <w:rPr>
          <w:rFonts w:cs="Arial"/>
          <w:sz w:val="24"/>
          <w:szCs w:val="24"/>
        </w:rPr>
        <w:t xml:space="preserve">πρακτικές αξιολόγησης/διαχείρισης των επιπτώσεων από τη λειτουργία </w:t>
      </w:r>
      <w:r w:rsidR="00DE0017" w:rsidRPr="00D43AC0">
        <w:rPr>
          <w:rFonts w:cs="Arial"/>
          <w:sz w:val="24"/>
          <w:szCs w:val="24"/>
        </w:rPr>
        <w:t>τους</w:t>
      </w:r>
      <w:r w:rsidRPr="00D43AC0">
        <w:rPr>
          <w:rFonts w:cs="Arial"/>
          <w:sz w:val="24"/>
          <w:szCs w:val="24"/>
        </w:rPr>
        <w:t xml:space="preserve"> στην τοπική κοινωνία, διαδικασίες για την αντιμετώπιση </w:t>
      </w:r>
      <w:r w:rsidR="00DE0017" w:rsidRPr="00D43AC0">
        <w:rPr>
          <w:rFonts w:cs="Arial"/>
          <w:sz w:val="24"/>
          <w:szCs w:val="24"/>
        </w:rPr>
        <w:t>της</w:t>
      </w:r>
      <w:r w:rsidRPr="00D43AC0">
        <w:rPr>
          <w:rFonts w:cs="Arial"/>
          <w:sz w:val="24"/>
          <w:szCs w:val="24"/>
        </w:rPr>
        <w:t xml:space="preserve"> διαφθοράς</w:t>
      </w:r>
      <w:r w:rsidR="00DE0017" w:rsidRPr="00D43AC0">
        <w:rPr>
          <w:rFonts w:cs="Arial"/>
          <w:sz w:val="24"/>
          <w:szCs w:val="24"/>
        </w:rPr>
        <w:t xml:space="preserve"> αλλά</w:t>
      </w:r>
      <w:r w:rsidRPr="00D43AC0">
        <w:rPr>
          <w:rFonts w:cs="Arial"/>
          <w:sz w:val="24"/>
          <w:szCs w:val="24"/>
        </w:rPr>
        <w:t xml:space="preserve"> και μια περιεκτική συζήτηση για </w:t>
      </w:r>
      <w:r w:rsidR="00DE0017" w:rsidRPr="00D43AC0">
        <w:rPr>
          <w:rFonts w:cs="Arial"/>
          <w:sz w:val="24"/>
          <w:szCs w:val="24"/>
        </w:rPr>
        <w:t>την θέση και προσέγγιση της εταιρείας</w:t>
      </w:r>
      <w:r w:rsidRPr="00D43AC0">
        <w:rPr>
          <w:rFonts w:cs="Arial"/>
          <w:sz w:val="24"/>
          <w:szCs w:val="24"/>
        </w:rPr>
        <w:t xml:space="preserve"> για την προάσπιση των ανθρωπίνων δικαιωμάτων.</w:t>
      </w:r>
    </w:p>
    <w:p w:rsidR="00C47717" w:rsidRPr="00D43AC0" w:rsidRDefault="00DE0017" w:rsidP="00C47717">
      <w:pPr>
        <w:jc w:val="both"/>
        <w:rPr>
          <w:rFonts w:cs="Arial"/>
          <w:sz w:val="24"/>
          <w:szCs w:val="24"/>
        </w:rPr>
      </w:pPr>
      <w:r w:rsidRPr="00D43AC0">
        <w:rPr>
          <w:rFonts w:cs="Arial"/>
          <w:sz w:val="24"/>
          <w:szCs w:val="24"/>
        </w:rPr>
        <w:t>Στη</w:t>
      </w:r>
      <w:r w:rsidR="00C47717" w:rsidRPr="00D43AC0">
        <w:rPr>
          <w:rFonts w:cs="Arial"/>
          <w:sz w:val="24"/>
          <w:szCs w:val="24"/>
        </w:rPr>
        <w:t xml:space="preserve"> βάση </w:t>
      </w:r>
      <w:r w:rsidRPr="00D43AC0">
        <w:rPr>
          <w:rFonts w:cs="Arial"/>
          <w:sz w:val="24"/>
          <w:szCs w:val="24"/>
        </w:rPr>
        <w:t>των</w:t>
      </w:r>
      <w:r w:rsidR="00C47717" w:rsidRPr="00D43AC0">
        <w:rPr>
          <w:rFonts w:cs="Arial"/>
          <w:sz w:val="24"/>
          <w:szCs w:val="24"/>
        </w:rPr>
        <w:t xml:space="preserve"> παραπάνω, </w:t>
      </w:r>
      <w:r w:rsidR="003B023F" w:rsidRPr="00D43AC0">
        <w:rPr>
          <w:rFonts w:cs="Arial"/>
          <w:sz w:val="24"/>
          <w:szCs w:val="24"/>
        </w:rPr>
        <w:t>κάποιες</w:t>
      </w:r>
      <w:r w:rsidR="00C47717" w:rsidRPr="00D43AC0">
        <w:rPr>
          <w:rFonts w:cs="Arial"/>
          <w:sz w:val="24"/>
          <w:szCs w:val="24"/>
        </w:rPr>
        <w:t xml:space="preserve"> προτάσεις για τη βελτίωση των πρακτικών λογοδοσίας μέσω εκθέσεων ΕΚΕ </w:t>
      </w:r>
      <w:r w:rsidR="003B023F" w:rsidRPr="00D43AC0">
        <w:rPr>
          <w:rFonts w:cs="Arial"/>
          <w:sz w:val="24"/>
          <w:szCs w:val="24"/>
        </w:rPr>
        <w:t>συνοψίζονται στις</w:t>
      </w:r>
      <w:r w:rsidR="00C47717" w:rsidRPr="00D43AC0">
        <w:rPr>
          <w:rFonts w:cs="Arial"/>
          <w:sz w:val="24"/>
          <w:szCs w:val="24"/>
        </w:rPr>
        <w:t xml:space="preserve"> ακόλουθες:</w:t>
      </w:r>
    </w:p>
    <w:p w:rsidR="00C47717" w:rsidRPr="00D43AC0" w:rsidRDefault="00C47717" w:rsidP="007F75E0">
      <w:pPr>
        <w:pStyle w:val="a3"/>
        <w:numPr>
          <w:ilvl w:val="0"/>
          <w:numId w:val="5"/>
        </w:numPr>
        <w:ind w:left="284" w:hanging="284"/>
        <w:jc w:val="both"/>
        <w:rPr>
          <w:rFonts w:cs="Arial"/>
          <w:sz w:val="24"/>
          <w:szCs w:val="24"/>
        </w:rPr>
      </w:pPr>
      <w:r w:rsidRPr="00D43AC0">
        <w:rPr>
          <w:rFonts w:cs="Arial"/>
          <w:sz w:val="24"/>
          <w:szCs w:val="24"/>
        </w:rPr>
        <w:t>Ενσωμάτωση της αρχής της ουσιαστικότητας στη διαδικασία κατάρτισης της έκθεσης.</w:t>
      </w:r>
    </w:p>
    <w:p w:rsidR="00C47717" w:rsidRDefault="00C47717" w:rsidP="007F75E0">
      <w:pPr>
        <w:pStyle w:val="a3"/>
        <w:ind w:left="0"/>
        <w:jc w:val="both"/>
        <w:rPr>
          <w:rFonts w:cs="Arial"/>
          <w:sz w:val="24"/>
          <w:szCs w:val="24"/>
        </w:rPr>
      </w:pPr>
      <w:r w:rsidRPr="00D43AC0">
        <w:rPr>
          <w:rFonts w:cs="Arial"/>
          <w:sz w:val="24"/>
          <w:szCs w:val="24"/>
        </w:rPr>
        <w:t>Αυτό μπορεί να επιτευχθεί με την  ιεράρχηση των ουσιαστικών - κρίσιμων θεμάτων ΕΚΕ για την εταιρεία. Ο οργανισμός GRI παρέχει σχετικά εγχειρίδια και καθοδήγηση για τον προσδιορισμό των θεμάτων επιχειρηματικής δραστηριότητας που κρίνονται ουσιαστικά - πρωταρχικού ενδιαφέροντος για την κάθε επιχείρηση. Η ιεράρχηση των θεμάτων ΕΚΕ επιτρέπει στον αναγνώστη να κατανοήσει γιατί η εταιρεία δίνει έμφαση σε συγκεκριμένα θέματα ΕΚΕ ενώ ταυτόχρονα συνεπάγεται κάλυψη δεικτών στον απολογισμό ανάλογη με την ουσιαστικότητα των επιμέρους ζητημάτων.</w:t>
      </w:r>
    </w:p>
    <w:p w:rsidR="005B350B" w:rsidRPr="00D43AC0" w:rsidRDefault="005B350B" w:rsidP="007F75E0">
      <w:pPr>
        <w:pStyle w:val="a3"/>
        <w:ind w:left="0"/>
        <w:jc w:val="both"/>
        <w:rPr>
          <w:rFonts w:cs="Arial"/>
          <w:sz w:val="24"/>
          <w:szCs w:val="24"/>
        </w:rPr>
      </w:pPr>
    </w:p>
    <w:p w:rsidR="00C47717" w:rsidRPr="00D43AC0" w:rsidRDefault="00C47717" w:rsidP="007F75E0">
      <w:pPr>
        <w:pStyle w:val="a3"/>
        <w:numPr>
          <w:ilvl w:val="0"/>
          <w:numId w:val="5"/>
        </w:numPr>
        <w:ind w:left="284" w:hanging="284"/>
        <w:jc w:val="both"/>
        <w:rPr>
          <w:rFonts w:cs="Arial"/>
          <w:sz w:val="24"/>
          <w:szCs w:val="24"/>
        </w:rPr>
      </w:pPr>
      <w:r w:rsidRPr="00D43AC0">
        <w:rPr>
          <w:rFonts w:cs="Arial"/>
          <w:sz w:val="24"/>
          <w:szCs w:val="24"/>
        </w:rPr>
        <w:t>Συμπερίληψη των ενδιαφερομένων μερών της εταιρείας στις διαδικασίες κατάρτισης της έκθεσης.</w:t>
      </w:r>
    </w:p>
    <w:p w:rsidR="00C47717" w:rsidRDefault="00C47717" w:rsidP="007F75E0">
      <w:pPr>
        <w:pStyle w:val="a3"/>
        <w:ind w:left="0"/>
        <w:jc w:val="both"/>
        <w:rPr>
          <w:rFonts w:cs="Arial"/>
          <w:sz w:val="24"/>
          <w:szCs w:val="24"/>
        </w:rPr>
      </w:pPr>
      <w:r w:rsidRPr="00D43AC0">
        <w:rPr>
          <w:rFonts w:cs="Arial"/>
          <w:sz w:val="24"/>
          <w:szCs w:val="24"/>
        </w:rPr>
        <w:t xml:space="preserve">Αυτό μπορεί να επιτευχθεί με την ανάπτυξη συστηματικών πρακτικών επικοινωνίας και διαβούλευσης με βασικές ομάδες ενδιαφερομένων μερών, πρωταρχικά με </w:t>
      </w:r>
      <w:r w:rsidRPr="00D43AC0">
        <w:rPr>
          <w:rFonts w:cs="Arial"/>
          <w:sz w:val="24"/>
          <w:szCs w:val="24"/>
        </w:rPr>
        <w:lastRenderedPageBreak/>
        <w:t xml:space="preserve">πελάτες, εργαζομένους και ΜΚΟ. Έρευνες μέσω ερωτηματολογίων σε ένα ικανοποιητικό δείγμα εκπροσώπων των συγκεκριμένων ομάδων ενδιαφέροντος για τη διερεύνηση των στάσεων/αντιλήψεων/προτάσεων βελτίωσης των δράσεων ΕΚΕ της </w:t>
      </w:r>
      <w:r w:rsidR="007F75E0" w:rsidRPr="00D43AC0">
        <w:rPr>
          <w:rFonts w:cs="Arial"/>
          <w:sz w:val="24"/>
          <w:szCs w:val="24"/>
        </w:rPr>
        <w:t>εταιρείας</w:t>
      </w:r>
      <w:r w:rsidRPr="00D43AC0">
        <w:rPr>
          <w:rFonts w:cs="Arial"/>
          <w:sz w:val="24"/>
          <w:szCs w:val="24"/>
        </w:rPr>
        <w:t xml:space="preserve">, και η αποτύπωσή τους στον απολογισμό, αποτελούν ενδεικτικές πρακτικές προς αυτή την κατεύθυνση. </w:t>
      </w:r>
    </w:p>
    <w:p w:rsidR="005B350B" w:rsidRPr="00D43AC0" w:rsidRDefault="005B350B" w:rsidP="007F75E0">
      <w:pPr>
        <w:pStyle w:val="a3"/>
        <w:ind w:left="0"/>
        <w:jc w:val="both"/>
        <w:rPr>
          <w:rFonts w:cs="Arial"/>
          <w:sz w:val="24"/>
          <w:szCs w:val="24"/>
        </w:rPr>
      </w:pPr>
    </w:p>
    <w:p w:rsidR="00C47717" w:rsidRPr="00D43AC0" w:rsidRDefault="00C47717" w:rsidP="007F75E0">
      <w:pPr>
        <w:pStyle w:val="a3"/>
        <w:numPr>
          <w:ilvl w:val="0"/>
          <w:numId w:val="5"/>
        </w:numPr>
        <w:ind w:left="284" w:hanging="284"/>
        <w:jc w:val="both"/>
        <w:rPr>
          <w:rFonts w:cs="Arial"/>
          <w:sz w:val="24"/>
          <w:szCs w:val="24"/>
        </w:rPr>
      </w:pPr>
      <w:r w:rsidRPr="00D43AC0">
        <w:rPr>
          <w:rFonts w:cs="Arial"/>
          <w:sz w:val="24"/>
          <w:szCs w:val="24"/>
        </w:rPr>
        <w:t>Πληρέστερη αποτύπωση των δεικτών επίδοσης</w:t>
      </w:r>
    </w:p>
    <w:p w:rsidR="00C47717" w:rsidRDefault="00C47717" w:rsidP="007F75E0">
      <w:pPr>
        <w:pStyle w:val="a3"/>
        <w:ind w:left="0"/>
        <w:jc w:val="both"/>
        <w:rPr>
          <w:rFonts w:cs="Arial"/>
          <w:sz w:val="24"/>
          <w:szCs w:val="24"/>
        </w:rPr>
      </w:pPr>
      <w:r w:rsidRPr="00D43AC0">
        <w:rPr>
          <w:rFonts w:cs="Arial"/>
          <w:sz w:val="24"/>
          <w:szCs w:val="24"/>
        </w:rPr>
        <w:t>Αυτό μπορεί να επιτευχθεί με την αποτελεσματική χρήση των πρωτοκόλλων GRI για την πληρέστερη και πιο συνεπή κάλυψη των δεικτών επίδοσης. Η σταδιακή ενσωμάτωση της προσέγγισης που προτείνει το πρότυπο ΑΑ1000 και η εκμετάλλευση της καθοδήγησης για την ΕΚΕ που προσφέρει το ISO</w:t>
      </w:r>
      <w:r w:rsidR="005B350B">
        <w:rPr>
          <w:rFonts w:cs="Arial"/>
          <w:sz w:val="24"/>
          <w:szCs w:val="24"/>
        </w:rPr>
        <w:t xml:space="preserve"> </w:t>
      </w:r>
      <w:r w:rsidRPr="00D43AC0">
        <w:rPr>
          <w:rFonts w:cs="Arial"/>
          <w:sz w:val="24"/>
          <w:szCs w:val="24"/>
        </w:rPr>
        <w:t>26000 σίγουρα θα συμβάλλουν προς αυτή την κατεύθυνση.</w:t>
      </w:r>
    </w:p>
    <w:p w:rsidR="005B350B" w:rsidRPr="00D43AC0" w:rsidRDefault="005B350B" w:rsidP="007F75E0">
      <w:pPr>
        <w:pStyle w:val="a3"/>
        <w:ind w:left="0"/>
        <w:jc w:val="both"/>
        <w:rPr>
          <w:rFonts w:cs="Arial"/>
          <w:sz w:val="24"/>
          <w:szCs w:val="24"/>
        </w:rPr>
      </w:pPr>
    </w:p>
    <w:p w:rsidR="00C47717" w:rsidRPr="00D43AC0" w:rsidRDefault="00C47717" w:rsidP="007F75E0">
      <w:pPr>
        <w:pStyle w:val="a3"/>
        <w:numPr>
          <w:ilvl w:val="0"/>
          <w:numId w:val="5"/>
        </w:numPr>
        <w:ind w:left="284" w:hanging="284"/>
        <w:jc w:val="both"/>
        <w:rPr>
          <w:rFonts w:cs="Arial"/>
          <w:sz w:val="24"/>
          <w:szCs w:val="24"/>
        </w:rPr>
      </w:pPr>
      <w:r w:rsidRPr="00D43AC0">
        <w:rPr>
          <w:rFonts w:cs="Arial"/>
          <w:sz w:val="24"/>
          <w:szCs w:val="24"/>
        </w:rPr>
        <w:t>Ενίσχυση της αξιοπιστίας των παρεχόμενων πληροφοριών της έκθεσης</w:t>
      </w:r>
    </w:p>
    <w:p w:rsidR="00C47717" w:rsidRPr="00D43AC0" w:rsidRDefault="00C47717" w:rsidP="007F75E0">
      <w:pPr>
        <w:pStyle w:val="a3"/>
        <w:ind w:left="0"/>
        <w:jc w:val="both"/>
        <w:rPr>
          <w:rFonts w:cs="Arial"/>
          <w:sz w:val="24"/>
          <w:szCs w:val="24"/>
        </w:rPr>
      </w:pPr>
      <w:r w:rsidRPr="00D43AC0">
        <w:rPr>
          <w:rFonts w:cs="Arial"/>
          <w:sz w:val="24"/>
          <w:szCs w:val="24"/>
        </w:rPr>
        <w:t>Αυτό μπορεί να επιτευχθεί με τη σταδιακή διεύρυνση των διαδικασιών διασφάλισης των στοιχείων που παρέχει ο απολογισμός. Η επιλογή των πληροφοριών/δεδομένων των οποίων η ακρίβεια θα πιστοποιηθεί από τρίτο φορέα θα πρέπει να είναι σε άμεση σχέση με την ουσιαστικότητα των επιμέρους θεμάτων επίδοσης της εταιρείας. Προτεραιότητα θα είναι προτιμότερο και πιο εύστοχο να δοθεί σε θέματα που αφορούν την περιβαλλοντική διαχείριση και ακολούθως σε πληροφορίες χορηγικών δράσεων ή/και άλλα ευρύτερα θέματα (λ.χ. διαδικασίες αντιμετώπισης της διαφθοράς ή θέματα που άπτονται της εταιρικής υπευθυνότητας για τις προσφερόμενες υπηρεσίες), καθώς και στην διασφάλιση των πρακτικών προσδιορισμού των ουσιαστικών θεμάτων (materiality assessment) και της επικοινωνίας-διαβούλευσης με ενδιαφερόμενα μέρη.</w:t>
      </w:r>
    </w:p>
    <w:p w:rsidR="007D3E41" w:rsidRDefault="007D3E41" w:rsidP="007F75E0">
      <w:pPr>
        <w:ind w:left="284" w:hanging="284"/>
        <w:jc w:val="both"/>
        <w:rPr>
          <w:rFonts w:cs="Arial"/>
          <w:sz w:val="24"/>
          <w:szCs w:val="24"/>
        </w:rPr>
      </w:pPr>
    </w:p>
    <w:p w:rsidR="008B34EB" w:rsidRDefault="008B34EB" w:rsidP="007F75E0">
      <w:pPr>
        <w:ind w:left="284" w:hanging="284"/>
        <w:jc w:val="both"/>
        <w:rPr>
          <w:rFonts w:cs="Arial"/>
          <w:sz w:val="24"/>
          <w:szCs w:val="24"/>
        </w:rPr>
      </w:pPr>
    </w:p>
    <w:p w:rsidR="008B34EB" w:rsidRDefault="008B34EB" w:rsidP="007F75E0">
      <w:pPr>
        <w:ind w:left="284" w:hanging="284"/>
        <w:jc w:val="both"/>
        <w:rPr>
          <w:rFonts w:cs="Arial"/>
          <w:sz w:val="24"/>
          <w:szCs w:val="24"/>
        </w:rPr>
      </w:pPr>
    </w:p>
    <w:p w:rsidR="008B34EB" w:rsidRDefault="008B34EB" w:rsidP="007F75E0">
      <w:pPr>
        <w:ind w:left="284" w:hanging="284"/>
        <w:jc w:val="both"/>
        <w:rPr>
          <w:rFonts w:cs="Arial"/>
          <w:sz w:val="24"/>
          <w:szCs w:val="24"/>
        </w:rPr>
      </w:pPr>
    </w:p>
    <w:p w:rsidR="008B34EB" w:rsidRDefault="008B34EB" w:rsidP="007F75E0">
      <w:pPr>
        <w:ind w:left="284" w:hanging="284"/>
        <w:jc w:val="both"/>
        <w:rPr>
          <w:rFonts w:cs="Arial"/>
          <w:sz w:val="24"/>
          <w:szCs w:val="24"/>
        </w:rPr>
      </w:pPr>
    </w:p>
    <w:p w:rsidR="008B34EB" w:rsidRDefault="008B34EB" w:rsidP="007F75E0">
      <w:pPr>
        <w:ind w:left="284" w:hanging="284"/>
        <w:jc w:val="both"/>
        <w:rPr>
          <w:rFonts w:cs="Arial"/>
          <w:sz w:val="24"/>
          <w:szCs w:val="24"/>
        </w:rPr>
      </w:pPr>
    </w:p>
    <w:p w:rsidR="008B34EB" w:rsidRDefault="008B34EB" w:rsidP="007F75E0">
      <w:pPr>
        <w:ind w:left="284" w:hanging="284"/>
        <w:jc w:val="both"/>
        <w:rPr>
          <w:rFonts w:cs="Arial"/>
          <w:sz w:val="24"/>
          <w:szCs w:val="24"/>
        </w:rPr>
      </w:pPr>
    </w:p>
    <w:p w:rsidR="008B34EB" w:rsidRPr="00D43AC0" w:rsidRDefault="008B34EB" w:rsidP="007F75E0">
      <w:pPr>
        <w:ind w:left="284" w:hanging="284"/>
        <w:jc w:val="both"/>
        <w:rPr>
          <w:rFonts w:cs="Arial"/>
          <w:sz w:val="24"/>
          <w:szCs w:val="24"/>
        </w:rPr>
      </w:pPr>
    </w:p>
    <w:p w:rsidR="00485B69" w:rsidRPr="00D43AC0" w:rsidRDefault="00485B69" w:rsidP="007F75E0">
      <w:pPr>
        <w:ind w:left="284" w:hanging="284"/>
        <w:jc w:val="both"/>
        <w:rPr>
          <w:rFonts w:cs="Arial"/>
          <w:sz w:val="24"/>
          <w:szCs w:val="24"/>
        </w:rPr>
      </w:pPr>
    </w:p>
    <w:p w:rsidR="00485B69" w:rsidRPr="00D43AC0" w:rsidRDefault="00485B69" w:rsidP="007F75E0">
      <w:pPr>
        <w:ind w:left="284" w:hanging="284"/>
        <w:jc w:val="both"/>
        <w:rPr>
          <w:rFonts w:cs="Arial"/>
          <w:sz w:val="24"/>
          <w:szCs w:val="24"/>
        </w:rPr>
      </w:pPr>
    </w:p>
    <w:p w:rsidR="00485B69" w:rsidRPr="00D43AC0" w:rsidRDefault="00485B69" w:rsidP="007F75E0">
      <w:pPr>
        <w:ind w:left="284" w:hanging="284"/>
        <w:jc w:val="both"/>
        <w:rPr>
          <w:rFonts w:cs="Arial"/>
          <w:sz w:val="24"/>
          <w:szCs w:val="24"/>
        </w:rPr>
      </w:pPr>
    </w:p>
    <w:p w:rsidR="00485B69" w:rsidRPr="00D43AC0" w:rsidRDefault="00485B69" w:rsidP="007F75E0">
      <w:pPr>
        <w:ind w:left="284" w:hanging="284"/>
        <w:jc w:val="both"/>
        <w:rPr>
          <w:rFonts w:cs="Arial"/>
          <w:sz w:val="24"/>
          <w:szCs w:val="24"/>
        </w:rPr>
      </w:pPr>
    </w:p>
    <w:p w:rsidR="00485B69" w:rsidRPr="00D43AC0" w:rsidRDefault="00485B69" w:rsidP="007F75E0">
      <w:pPr>
        <w:ind w:left="284" w:hanging="284"/>
        <w:jc w:val="both"/>
        <w:rPr>
          <w:rFonts w:cs="Arial"/>
          <w:sz w:val="24"/>
          <w:szCs w:val="24"/>
        </w:rPr>
      </w:pPr>
    </w:p>
    <w:p w:rsidR="005B350B" w:rsidRDefault="005B350B" w:rsidP="007F75E0">
      <w:pPr>
        <w:ind w:left="284" w:hanging="284"/>
        <w:jc w:val="both"/>
        <w:rPr>
          <w:rFonts w:cs="Arial"/>
          <w:sz w:val="24"/>
          <w:szCs w:val="24"/>
        </w:rPr>
      </w:pPr>
    </w:p>
    <w:p w:rsidR="005B350B" w:rsidRPr="00D43AC0" w:rsidRDefault="005B350B" w:rsidP="007F75E0">
      <w:pPr>
        <w:ind w:left="284" w:hanging="284"/>
        <w:jc w:val="both"/>
        <w:rPr>
          <w:rFonts w:cs="Arial"/>
          <w:sz w:val="24"/>
          <w:szCs w:val="24"/>
        </w:rPr>
      </w:pPr>
    </w:p>
    <w:p w:rsidR="00485B69" w:rsidRPr="00D43AC0" w:rsidRDefault="00485B69" w:rsidP="007F75E0">
      <w:pPr>
        <w:ind w:left="284" w:hanging="284"/>
        <w:jc w:val="both"/>
        <w:rPr>
          <w:rFonts w:cs="Arial"/>
          <w:sz w:val="24"/>
          <w:szCs w:val="24"/>
        </w:rPr>
      </w:pPr>
      <w:r w:rsidRPr="00D43AC0">
        <w:rPr>
          <w:rFonts w:cs="Arial"/>
          <w:noProof/>
          <w:sz w:val="24"/>
          <w:szCs w:val="24"/>
          <w:lang w:eastAsia="el-GR"/>
        </w:rPr>
        <w:drawing>
          <wp:anchor distT="0" distB="0" distL="114300" distR="114300" simplePos="0" relativeHeight="251664384" behindDoc="0" locked="0" layoutInCell="1" allowOverlap="1">
            <wp:simplePos x="0" y="0"/>
            <wp:positionH relativeFrom="column">
              <wp:posOffset>1427205</wp:posOffset>
            </wp:positionH>
            <wp:positionV relativeFrom="paragraph">
              <wp:posOffset>111468</wp:posOffset>
            </wp:positionV>
            <wp:extent cx="2706130" cy="2854411"/>
            <wp:effectExtent l="0" t="0" r="0" b="0"/>
            <wp:wrapNone/>
            <wp:docPr id="1" name="Picture 7" descr="dep e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 env logo"/>
                    <pic:cNvPicPr>
                      <a:picLocks noChangeAspect="1" noChangeArrowheads="1"/>
                    </pic:cNvPicPr>
                  </pic:nvPicPr>
                  <pic:blipFill>
                    <a:blip r:embed="rId7" cstate="print"/>
                    <a:srcRect/>
                    <a:stretch>
                      <a:fillRect/>
                    </a:stretch>
                  </pic:blipFill>
                  <pic:spPr bwMode="auto">
                    <a:xfrm>
                      <a:off x="0" y="0"/>
                      <a:ext cx="2706130" cy="2854411"/>
                    </a:xfrm>
                    <a:prstGeom prst="rect">
                      <a:avLst/>
                    </a:prstGeom>
                    <a:noFill/>
                    <a:ln w="9525">
                      <a:noFill/>
                      <a:miter lim="800000"/>
                      <a:headEnd/>
                      <a:tailEnd/>
                    </a:ln>
                  </pic:spPr>
                </pic:pic>
              </a:graphicData>
            </a:graphic>
          </wp:anchor>
        </w:drawing>
      </w:r>
    </w:p>
    <w:p w:rsidR="00485B69" w:rsidRPr="00D43AC0" w:rsidRDefault="00485B69" w:rsidP="007F75E0">
      <w:pPr>
        <w:ind w:left="284" w:hanging="284"/>
        <w:jc w:val="both"/>
        <w:rPr>
          <w:rFonts w:cs="Arial"/>
          <w:sz w:val="24"/>
          <w:szCs w:val="24"/>
        </w:rPr>
      </w:pPr>
    </w:p>
    <w:p w:rsidR="00485B69" w:rsidRPr="00D43AC0" w:rsidRDefault="00485B69" w:rsidP="007F75E0">
      <w:pPr>
        <w:ind w:left="284" w:hanging="284"/>
        <w:jc w:val="both"/>
        <w:rPr>
          <w:rFonts w:cs="Arial"/>
          <w:sz w:val="24"/>
          <w:szCs w:val="24"/>
        </w:rPr>
      </w:pPr>
    </w:p>
    <w:p w:rsidR="00485B69" w:rsidRPr="00D43AC0" w:rsidRDefault="00D8511A" w:rsidP="007F75E0">
      <w:pPr>
        <w:ind w:left="284" w:hanging="284"/>
        <w:jc w:val="both"/>
        <w:rPr>
          <w:rFonts w:cs="Arial"/>
          <w:sz w:val="24"/>
          <w:szCs w:val="24"/>
        </w:rPr>
      </w:pPr>
      <w:r>
        <w:rPr>
          <w:rFonts w:cs="Arial"/>
          <w:noProof/>
          <w:sz w:val="24"/>
          <w:szCs w:val="24"/>
          <w:lang w:eastAsia="el-GR"/>
        </w:rPr>
        <w:pict>
          <v:shapetype id="_x0000_t202" coordsize="21600,21600" o:spt="202" path="m,l,21600r21600,l21600,xe">
            <v:stroke joinstyle="miter"/>
            <v:path gradientshapeok="t" o:connecttype="rect"/>
          </v:shapetype>
          <v:shape id="_x0000_s1026" type="#_x0000_t202" style="position:absolute;left:0;text-align:left;margin-left:-54.15pt;margin-top:326.65pt;width:531pt;height:153pt;z-index:251663360" stroked="f">
            <v:textbox>
              <w:txbxContent>
                <w:p w:rsidR="00E57044" w:rsidRDefault="00E57044" w:rsidP="00485B69">
                  <w:pPr>
                    <w:jc w:val="center"/>
                    <w:rPr>
                      <w:rFonts w:ascii="Calibri" w:hAnsi="Calibri"/>
                      <w:b/>
                      <w:sz w:val="28"/>
                      <w:szCs w:val="28"/>
                      <w:u w:val="single"/>
                    </w:rPr>
                  </w:pPr>
                </w:p>
                <w:p w:rsidR="00E57044" w:rsidRDefault="00E57044" w:rsidP="00485B69">
                  <w:pPr>
                    <w:jc w:val="center"/>
                    <w:rPr>
                      <w:rFonts w:ascii="Calibri" w:hAnsi="Calibri"/>
                      <w:b/>
                      <w:sz w:val="28"/>
                      <w:szCs w:val="28"/>
                      <w:u w:val="single"/>
                    </w:rPr>
                  </w:pPr>
                </w:p>
                <w:p w:rsidR="00E57044" w:rsidRPr="00485B69" w:rsidRDefault="00E57044" w:rsidP="00485B69">
                  <w:pPr>
                    <w:jc w:val="center"/>
                    <w:rPr>
                      <w:rFonts w:ascii="Calibri" w:hAnsi="Calibri"/>
                      <w:b/>
                      <w:sz w:val="28"/>
                      <w:szCs w:val="28"/>
                      <w:u w:val="single"/>
                    </w:rPr>
                  </w:pPr>
                </w:p>
                <w:p w:rsidR="00E57044" w:rsidRPr="00C759A1" w:rsidRDefault="00E57044" w:rsidP="00485B69">
                  <w:pPr>
                    <w:jc w:val="center"/>
                    <w:rPr>
                      <w:rFonts w:ascii="Calibri" w:hAnsi="Calibri"/>
                      <w:b/>
                      <w:i/>
                      <w:sz w:val="32"/>
                      <w:szCs w:val="32"/>
                    </w:rPr>
                  </w:pPr>
                  <w:r w:rsidRPr="00C759A1">
                    <w:rPr>
                      <w:rFonts w:ascii="Calibri" w:hAnsi="Calibri"/>
                      <w:b/>
                      <w:i/>
                      <w:sz w:val="32"/>
                      <w:szCs w:val="32"/>
                    </w:rPr>
                    <w:t xml:space="preserve">Εργαστήριο Επιχειρησιακής Περιβαλλοντικής Πολιτικής και Διαχείρισης </w:t>
                  </w:r>
                </w:p>
                <w:p w:rsidR="00E57044" w:rsidRDefault="00E57044" w:rsidP="00485B69">
                  <w:pPr>
                    <w:jc w:val="center"/>
                    <w:rPr>
                      <w:rFonts w:ascii="Calibri" w:hAnsi="Calibri"/>
                      <w:b/>
                      <w:sz w:val="28"/>
                      <w:szCs w:val="28"/>
                      <w:u w:val="single"/>
                      <w:lang w:val="en-US"/>
                    </w:rPr>
                  </w:pPr>
                  <w:hyperlink r:id="rId17" w:history="1">
                    <w:r w:rsidRPr="00664CEA">
                      <w:rPr>
                        <w:rStyle w:val="-"/>
                        <w:rFonts w:ascii="Calibri" w:hAnsi="Calibri"/>
                        <w:b/>
                        <w:sz w:val="28"/>
                        <w:szCs w:val="28"/>
                      </w:rPr>
                      <w:t>www.aegean.gr/environment/eeppd</w:t>
                    </w:r>
                  </w:hyperlink>
                </w:p>
                <w:p w:rsidR="00E57044" w:rsidRPr="00C759A1" w:rsidRDefault="00E57044" w:rsidP="00485B69">
                  <w:pPr>
                    <w:jc w:val="center"/>
                    <w:rPr>
                      <w:rFonts w:ascii="Calibri" w:hAnsi="Calibri"/>
                      <w:b/>
                      <w:sz w:val="28"/>
                      <w:szCs w:val="28"/>
                      <w:u w:val="single"/>
                      <w:lang w:val="en-US"/>
                    </w:rPr>
                  </w:pPr>
                </w:p>
                <w:p w:rsidR="00E57044" w:rsidRPr="00D65D68" w:rsidRDefault="00E57044" w:rsidP="00485B69">
                  <w:pPr>
                    <w:rPr>
                      <w:lang w:val="en-GB"/>
                    </w:rPr>
                  </w:pPr>
                </w:p>
              </w:txbxContent>
            </v:textbox>
          </v:shape>
        </w:pict>
      </w:r>
    </w:p>
    <w:sectPr w:rsidR="00485B69" w:rsidRPr="00D43AC0" w:rsidSect="00AA554F">
      <w:footerReference w:type="default" r:id="rId18"/>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847" w:rsidRDefault="00037847" w:rsidP="00C72815">
      <w:pPr>
        <w:spacing w:after="0" w:line="240" w:lineRule="auto"/>
      </w:pPr>
      <w:r>
        <w:separator/>
      </w:r>
    </w:p>
  </w:endnote>
  <w:endnote w:type="continuationSeparator" w:id="0">
    <w:p w:rsidR="00037847" w:rsidRDefault="00037847" w:rsidP="00C72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1760"/>
      <w:docPartObj>
        <w:docPartGallery w:val="Page Numbers (Bottom of Page)"/>
        <w:docPartUnique/>
      </w:docPartObj>
    </w:sdtPr>
    <w:sdtContent>
      <w:p w:rsidR="00E57044" w:rsidRDefault="00E57044">
        <w:pPr>
          <w:pStyle w:val="a6"/>
          <w:jc w:val="right"/>
        </w:pPr>
        <w:fldSimple w:instr=" PAGE   \* MERGEFORMAT ">
          <w:r w:rsidR="005B350B">
            <w:rPr>
              <w:noProof/>
            </w:rPr>
            <w:t>6</w:t>
          </w:r>
        </w:fldSimple>
      </w:p>
    </w:sdtContent>
  </w:sdt>
  <w:p w:rsidR="00E57044" w:rsidRDefault="00E570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847" w:rsidRDefault="00037847" w:rsidP="00C72815">
      <w:pPr>
        <w:spacing w:after="0" w:line="240" w:lineRule="auto"/>
      </w:pPr>
      <w:r>
        <w:separator/>
      </w:r>
    </w:p>
  </w:footnote>
  <w:footnote w:type="continuationSeparator" w:id="0">
    <w:p w:rsidR="00037847" w:rsidRDefault="00037847" w:rsidP="00C728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F3826"/>
    <w:multiLevelType w:val="hybridMultilevel"/>
    <w:tmpl w:val="8DF4422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79F1FAB"/>
    <w:multiLevelType w:val="hybridMultilevel"/>
    <w:tmpl w:val="8EACFE60"/>
    <w:lvl w:ilvl="0" w:tplc="330A960E">
      <w:start w:val="1"/>
      <w:numFmt w:val="bullet"/>
      <w:lvlText w:val="•"/>
      <w:lvlJc w:val="left"/>
      <w:pPr>
        <w:tabs>
          <w:tab w:val="num" w:pos="720"/>
        </w:tabs>
        <w:ind w:left="720" w:hanging="360"/>
      </w:pPr>
      <w:rPr>
        <w:rFonts w:ascii="Times New Roman" w:hAnsi="Times New Roman" w:hint="default"/>
      </w:rPr>
    </w:lvl>
    <w:lvl w:ilvl="1" w:tplc="41C0F3D8" w:tentative="1">
      <w:start w:val="1"/>
      <w:numFmt w:val="bullet"/>
      <w:lvlText w:val="•"/>
      <w:lvlJc w:val="left"/>
      <w:pPr>
        <w:tabs>
          <w:tab w:val="num" w:pos="1440"/>
        </w:tabs>
        <w:ind w:left="1440" w:hanging="360"/>
      </w:pPr>
      <w:rPr>
        <w:rFonts w:ascii="Times New Roman" w:hAnsi="Times New Roman" w:hint="default"/>
      </w:rPr>
    </w:lvl>
    <w:lvl w:ilvl="2" w:tplc="68C844EA" w:tentative="1">
      <w:start w:val="1"/>
      <w:numFmt w:val="bullet"/>
      <w:lvlText w:val="•"/>
      <w:lvlJc w:val="left"/>
      <w:pPr>
        <w:tabs>
          <w:tab w:val="num" w:pos="2160"/>
        </w:tabs>
        <w:ind w:left="2160" w:hanging="360"/>
      </w:pPr>
      <w:rPr>
        <w:rFonts w:ascii="Times New Roman" w:hAnsi="Times New Roman" w:hint="default"/>
      </w:rPr>
    </w:lvl>
    <w:lvl w:ilvl="3" w:tplc="171000A6" w:tentative="1">
      <w:start w:val="1"/>
      <w:numFmt w:val="bullet"/>
      <w:lvlText w:val="•"/>
      <w:lvlJc w:val="left"/>
      <w:pPr>
        <w:tabs>
          <w:tab w:val="num" w:pos="2880"/>
        </w:tabs>
        <w:ind w:left="2880" w:hanging="360"/>
      </w:pPr>
      <w:rPr>
        <w:rFonts w:ascii="Times New Roman" w:hAnsi="Times New Roman" w:hint="default"/>
      </w:rPr>
    </w:lvl>
    <w:lvl w:ilvl="4" w:tplc="35AC8F9E" w:tentative="1">
      <w:start w:val="1"/>
      <w:numFmt w:val="bullet"/>
      <w:lvlText w:val="•"/>
      <w:lvlJc w:val="left"/>
      <w:pPr>
        <w:tabs>
          <w:tab w:val="num" w:pos="3600"/>
        </w:tabs>
        <w:ind w:left="3600" w:hanging="360"/>
      </w:pPr>
      <w:rPr>
        <w:rFonts w:ascii="Times New Roman" w:hAnsi="Times New Roman" w:hint="default"/>
      </w:rPr>
    </w:lvl>
    <w:lvl w:ilvl="5" w:tplc="0CE8A2A8" w:tentative="1">
      <w:start w:val="1"/>
      <w:numFmt w:val="bullet"/>
      <w:lvlText w:val="•"/>
      <w:lvlJc w:val="left"/>
      <w:pPr>
        <w:tabs>
          <w:tab w:val="num" w:pos="4320"/>
        </w:tabs>
        <w:ind w:left="4320" w:hanging="360"/>
      </w:pPr>
      <w:rPr>
        <w:rFonts w:ascii="Times New Roman" w:hAnsi="Times New Roman" w:hint="default"/>
      </w:rPr>
    </w:lvl>
    <w:lvl w:ilvl="6" w:tplc="9878AFF4" w:tentative="1">
      <w:start w:val="1"/>
      <w:numFmt w:val="bullet"/>
      <w:lvlText w:val="•"/>
      <w:lvlJc w:val="left"/>
      <w:pPr>
        <w:tabs>
          <w:tab w:val="num" w:pos="5040"/>
        </w:tabs>
        <w:ind w:left="5040" w:hanging="360"/>
      </w:pPr>
      <w:rPr>
        <w:rFonts w:ascii="Times New Roman" w:hAnsi="Times New Roman" w:hint="default"/>
      </w:rPr>
    </w:lvl>
    <w:lvl w:ilvl="7" w:tplc="BD2A9D76" w:tentative="1">
      <w:start w:val="1"/>
      <w:numFmt w:val="bullet"/>
      <w:lvlText w:val="•"/>
      <w:lvlJc w:val="left"/>
      <w:pPr>
        <w:tabs>
          <w:tab w:val="num" w:pos="5760"/>
        </w:tabs>
        <w:ind w:left="5760" w:hanging="360"/>
      </w:pPr>
      <w:rPr>
        <w:rFonts w:ascii="Times New Roman" w:hAnsi="Times New Roman" w:hint="default"/>
      </w:rPr>
    </w:lvl>
    <w:lvl w:ilvl="8" w:tplc="1E7825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3A5C1B57"/>
    <w:multiLevelType w:val="hybridMultilevel"/>
    <w:tmpl w:val="3D5441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74B935E6"/>
    <w:multiLevelType w:val="hybridMultilevel"/>
    <w:tmpl w:val="0EA07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145D0"/>
    <w:rsid w:val="00005BD6"/>
    <w:rsid w:val="00011EEF"/>
    <w:rsid w:val="00020759"/>
    <w:rsid w:val="00037847"/>
    <w:rsid w:val="00061CB1"/>
    <w:rsid w:val="00171F1E"/>
    <w:rsid w:val="001D2BE5"/>
    <w:rsid w:val="001F7828"/>
    <w:rsid w:val="002A58E6"/>
    <w:rsid w:val="00300D45"/>
    <w:rsid w:val="00307402"/>
    <w:rsid w:val="00350F54"/>
    <w:rsid w:val="00370AE5"/>
    <w:rsid w:val="0038295A"/>
    <w:rsid w:val="003A7B0C"/>
    <w:rsid w:val="003B023F"/>
    <w:rsid w:val="003B4C3E"/>
    <w:rsid w:val="0047330E"/>
    <w:rsid w:val="00485B69"/>
    <w:rsid w:val="00493CEC"/>
    <w:rsid w:val="004A675B"/>
    <w:rsid w:val="004D40ED"/>
    <w:rsid w:val="00545BDB"/>
    <w:rsid w:val="0058532E"/>
    <w:rsid w:val="005B350B"/>
    <w:rsid w:val="005C6054"/>
    <w:rsid w:val="005E0638"/>
    <w:rsid w:val="005F7703"/>
    <w:rsid w:val="005F782E"/>
    <w:rsid w:val="006335F9"/>
    <w:rsid w:val="00665D59"/>
    <w:rsid w:val="00683EE2"/>
    <w:rsid w:val="007D3E41"/>
    <w:rsid w:val="007F0379"/>
    <w:rsid w:val="007F75E0"/>
    <w:rsid w:val="00831A01"/>
    <w:rsid w:val="008756CF"/>
    <w:rsid w:val="008B34EB"/>
    <w:rsid w:val="008D4FAD"/>
    <w:rsid w:val="00934F72"/>
    <w:rsid w:val="00947696"/>
    <w:rsid w:val="009549F5"/>
    <w:rsid w:val="009561B3"/>
    <w:rsid w:val="00957126"/>
    <w:rsid w:val="009B5CF5"/>
    <w:rsid w:val="009C15E8"/>
    <w:rsid w:val="00A354B3"/>
    <w:rsid w:val="00A86FC7"/>
    <w:rsid w:val="00AA554F"/>
    <w:rsid w:val="00AC0DFE"/>
    <w:rsid w:val="00AD12D9"/>
    <w:rsid w:val="00AD2C4A"/>
    <w:rsid w:val="00B04BD6"/>
    <w:rsid w:val="00B443FB"/>
    <w:rsid w:val="00C145D0"/>
    <w:rsid w:val="00C47717"/>
    <w:rsid w:val="00C6008B"/>
    <w:rsid w:val="00C72815"/>
    <w:rsid w:val="00C840DE"/>
    <w:rsid w:val="00CB63E5"/>
    <w:rsid w:val="00D17926"/>
    <w:rsid w:val="00D43AC0"/>
    <w:rsid w:val="00D6331C"/>
    <w:rsid w:val="00D8511A"/>
    <w:rsid w:val="00DE0017"/>
    <w:rsid w:val="00E50715"/>
    <w:rsid w:val="00E57044"/>
    <w:rsid w:val="00E72702"/>
    <w:rsid w:val="00F469C0"/>
    <w:rsid w:val="00FA60C1"/>
    <w:rsid w:val="00FF0E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A01"/>
    <w:pPr>
      <w:ind w:left="720"/>
      <w:contextualSpacing/>
    </w:pPr>
  </w:style>
  <w:style w:type="paragraph" w:customStyle="1" w:styleId="CharCharCharCharCharCharCharCharCharCharCharCharCharCharChar1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w:basedOn w:val="a"/>
    <w:rsid w:val="00E50715"/>
    <w:pPr>
      <w:spacing w:after="160" w:line="240" w:lineRule="exact"/>
    </w:pPr>
    <w:rPr>
      <w:rFonts w:ascii="Tahoma" w:eastAsia="Times New Roman" w:hAnsi="Tahoma" w:cs="Times New Roman"/>
      <w:sz w:val="20"/>
      <w:szCs w:val="20"/>
      <w:lang w:val="en-US"/>
    </w:rPr>
  </w:style>
  <w:style w:type="character" w:styleId="-">
    <w:name w:val="Hyperlink"/>
    <w:basedOn w:val="a0"/>
    <w:rsid w:val="009C15E8"/>
    <w:rPr>
      <w:color w:val="0000FF"/>
      <w:u w:val="single"/>
    </w:rPr>
  </w:style>
  <w:style w:type="paragraph" w:styleId="a4">
    <w:name w:val="Balloon Text"/>
    <w:basedOn w:val="a"/>
    <w:link w:val="Char"/>
    <w:uiPriority w:val="99"/>
    <w:semiHidden/>
    <w:unhideWhenUsed/>
    <w:rsid w:val="009C15E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C15E8"/>
    <w:rPr>
      <w:rFonts w:ascii="Tahoma" w:hAnsi="Tahoma" w:cs="Tahoma"/>
      <w:sz w:val="16"/>
      <w:szCs w:val="16"/>
    </w:rPr>
  </w:style>
  <w:style w:type="paragraph" w:styleId="a5">
    <w:name w:val="header"/>
    <w:basedOn w:val="a"/>
    <w:link w:val="Char0"/>
    <w:uiPriority w:val="99"/>
    <w:semiHidden/>
    <w:unhideWhenUsed/>
    <w:rsid w:val="00C72815"/>
    <w:pPr>
      <w:tabs>
        <w:tab w:val="center" w:pos="4153"/>
        <w:tab w:val="right" w:pos="8306"/>
      </w:tabs>
      <w:spacing w:after="0" w:line="240" w:lineRule="auto"/>
    </w:pPr>
  </w:style>
  <w:style w:type="character" w:customStyle="1" w:styleId="Char0">
    <w:name w:val="Κεφαλίδα Char"/>
    <w:basedOn w:val="a0"/>
    <w:link w:val="a5"/>
    <w:uiPriority w:val="99"/>
    <w:semiHidden/>
    <w:rsid w:val="00C72815"/>
  </w:style>
  <w:style w:type="paragraph" w:styleId="a6">
    <w:name w:val="footer"/>
    <w:basedOn w:val="a"/>
    <w:link w:val="Char1"/>
    <w:uiPriority w:val="99"/>
    <w:unhideWhenUsed/>
    <w:rsid w:val="00C72815"/>
    <w:pPr>
      <w:tabs>
        <w:tab w:val="center" w:pos="4153"/>
        <w:tab w:val="right" w:pos="8306"/>
      </w:tabs>
      <w:spacing w:after="0" w:line="240" w:lineRule="auto"/>
    </w:pPr>
  </w:style>
  <w:style w:type="character" w:customStyle="1" w:styleId="Char1">
    <w:name w:val="Υποσέλιδο Char"/>
    <w:basedOn w:val="a0"/>
    <w:link w:val="a6"/>
    <w:uiPriority w:val="99"/>
    <w:rsid w:val="00C72815"/>
  </w:style>
  <w:style w:type="table" w:styleId="a7">
    <w:name w:val="Table Grid"/>
    <w:basedOn w:val="a1"/>
    <w:uiPriority w:val="59"/>
    <w:rsid w:val="00307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AD2C4A"/>
    <w:rPr>
      <w:sz w:val="16"/>
      <w:szCs w:val="16"/>
    </w:rPr>
  </w:style>
  <w:style w:type="paragraph" w:styleId="a9">
    <w:name w:val="annotation text"/>
    <w:basedOn w:val="a"/>
    <w:link w:val="Char2"/>
    <w:uiPriority w:val="99"/>
    <w:semiHidden/>
    <w:unhideWhenUsed/>
    <w:rsid w:val="00AD2C4A"/>
    <w:pPr>
      <w:spacing w:line="240" w:lineRule="auto"/>
    </w:pPr>
    <w:rPr>
      <w:rFonts w:eastAsiaTheme="minorEastAsia"/>
      <w:sz w:val="20"/>
      <w:szCs w:val="20"/>
      <w:lang w:eastAsia="el-GR"/>
    </w:rPr>
  </w:style>
  <w:style w:type="character" w:customStyle="1" w:styleId="Char2">
    <w:name w:val="Κείμενο σχολίου Char"/>
    <w:basedOn w:val="a0"/>
    <w:link w:val="a9"/>
    <w:uiPriority w:val="99"/>
    <w:semiHidden/>
    <w:rsid w:val="00AD2C4A"/>
    <w:rPr>
      <w:rFonts w:eastAsiaTheme="minorEastAsia"/>
      <w:sz w:val="20"/>
      <w:szCs w:val="20"/>
      <w:lang w:eastAsia="el-GR"/>
    </w:rPr>
  </w:style>
</w:styles>
</file>

<file path=word/webSettings.xml><?xml version="1.0" encoding="utf-8"?>
<w:webSettings xmlns:r="http://schemas.openxmlformats.org/officeDocument/2006/relationships" xmlns:w="http://schemas.openxmlformats.org/wordprocessingml/2006/main">
  <w:divs>
    <w:div w:id="1214611204">
      <w:bodyDiv w:val="1"/>
      <w:marLeft w:val="0"/>
      <w:marRight w:val="0"/>
      <w:marTop w:val="0"/>
      <w:marBottom w:val="0"/>
      <w:divBdr>
        <w:top w:val="none" w:sz="0" w:space="0" w:color="auto"/>
        <w:left w:val="none" w:sz="0" w:space="0" w:color="auto"/>
        <w:bottom w:val="none" w:sz="0" w:space="0" w:color="auto"/>
        <w:right w:val="none" w:sz="0" w:space="0" w:color="auto"/>
      </w:divBdr>
      <w:divsChild>
        <w:div w:id="932320265">
          <w:marLeft w:val="547"/>
          <w:marRight w:val="0"/>
          <w:marTop w:val="115"/>
          <w:marBottom w:val="0"/>
          <w:divBdr>
            <w:top w:val="none" w:sz="0" w:space="0" w:color="auto"/>
            <w:left w:val="none" w:sz="0" w:space="0" w:color="auto"/>
            <w:bottom w:val="none" w:sz="0" w:space="0" w:color="auto"/>
            <w:right w:val="none" w:sz="0" w:space="0" w:color="auto"/>
          </w:divBdr>
        </w:div>
        <w:div w:id="1030763361">
          <w:marLeft w:val="547"/>
          <w:marRight w:val="0"/>
          <w:marTop w:val="115"/>
          <w:marBottom w:val="0"/>
          <w:divBdr>
            <w:top w:val="none" w:sz="0" w:space="0" w:color="auto"/>
            <w:left w:val="none" w:sz="0" w:space="0" w:color="auto"/>
            <w:bottom w:val="none" w:sz="0" w:space="0" w:color="auto"/>
            <w:right w:val="none" w:sz="0" w:space="0" w:color="auto"/>
          </w:divBdr>
        </w:div>
        <w:div w:id="530339189">
          <w:marLeft w:val="547"/>
          <w:marRight w:val="0"/>
          <w:marTop w:val="115"/>
          <w:marBottom w:val="0"/>
          <w:divBdr>
            <w:top w:val="none" w:sz="0" w:space="0" w:color="auto"/>
            <w:left w:val="none" w:sz="0" w:space="0" w:color="auto"/>
            <w:bottom w:val="none" w:sz="0" w:space="0" w:color="auto"/>
            <w:right w:val="none" w:sz="0" w:space="0" w:color="auto"/>
          </w:divBdr>
        </w:div>
        <w:div w:id="38476004">
          <w:marLeft w:val="547"/>
          <w:marRight w:val="0"/>
          <w:marTop w:val="115"/>
          <w:marBottom w:val="0"/>
          <w:divBdr>
            <w:top w:val="none" w:sz="0" w:space="0" w:color="auto"/>
            <w:left w:val="none" w:sz="0" w:space="0" w:color="auto"/>
            <w:bottom w:val="none" w:sz="0" w:space="0" w:color="auto"/>
            <w:right w:val="none" w:sz="0" w:space="0" w:color="auto"/>
          </w:divBdr>
        </w:div>
        <w:div w:id="213918073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hyperlink" Target="http://www.aegean.gr/environment/eeppd"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Business%20In%20Society\Conferences%20&amp;%20Submitted%20Manuscripts\CSR%20Reporting%20Forum\Descriptive%20stats_CSR%20report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8.557851313214479E-2"/>
          <c:y val="6.8235294117647227E-2"/>
          <c:w val="0.90808311156886978"/>
          <c:h val="0.83058823529411763"/>
        </c:manualLayout>
      </c:layout>
      <c:lineChart>
        <c:grouping val="standard"/>
        <c:ser>
          <c:idx val="0"/>
          <c:order val="0"/>
          <c:tx>
            <c:strRef>
              <c:f>Φύλλο1!$B$1</c:f>
              <c:strCache>
                <c:ptCount val="1"/>
                <c:pt idx="0">
                  <c:v>N100</c:v>
                </c:pt>
              </c:strCache>
            </c:strRef>
          </c:tx>
          <c:spPr>
            <a:ln w="25400">
              <a:solidFill>
                <a:srgbClr val="000080"/>
              </a:solidFill>
              <a:prstDash val="solid"/>
            </a:ln>
          </c:spPr>
          <c:marker>
            <c:symbol val="diamond"/>
            <c:size val="7"/>
            <c:spPr>
              <a:solidFill>
                <a:srgbClr val="000080"/>
              </a:solidFill>
              <a:ln>
                <a:solidFill>
                  <a:srgbClr val="000080"/>
                </a:solidFill>
                <a:prstDash val="solid"/>
              </a:ln>
            </c:spPr>
          </c:marker>
          <c:dLbls>
            <c:dLbl>
              <c:idx val="0"/>
              <c:layout>
                <c:manualLayout>
                  <c:x val="3.9951157702479466E-3"/>
                  <c:y val="2.1474633317894155E-2"/>
                </c:manualLayout>
              </c:layout>
              <c:dLblPos val="r"/>
              <c:showVal val="1"/>
            </c:dLbl>
            <c:dLbl>
              <c:idx val="1"/>
              <c:layout>
                <c:manualLayout>
                  <c:x val="-8.0889449887291565E-3"/>
                  <c:y val="3.3662992125984212E-2"/>
                </c:manualLayout>
              </c:layout>
              <c:dLblPos val="r"/>
              <c:showVal val="1"/>
            </c:dLbl>
            <c:dLbl>
              <c:idx val="2"/>
              <c:layout>
                <c:manualLayout>
                  <c:x val="-9.0794947861319343E-3"/>
                  <c:y val="4.1145221553188116E-2"/>
                </c:manualLayout>
              </c:layout>
              <c:dLblPos val="r"/>
              <c:showVal val="1"/>
            </c:dLbl>
            <c:dLbl>
              <c:idx val="3"/>
              <c:layout>
                <c:manualLayout>
                  <c:x val="-2.1459418006723333E-3"/>
                  <c:y val="2.0251103906129445E-2"/>
                </c:manualLayout>
              </c:layout>
              <c:dLblPos val="r"/>
              <c:showVal val="1"/>
            </c:dLbl>
            <c:dLbl>
              <c:idx val="4"/>
              <c:layout>
                <c:manualLayout>
                  <c:x val="-3.1364915980750686E-3"/>
                  <c:y val="2.4698100972672492E-2"/>
                </c:manualLayout>
              </c:layout>
              <c:dLblPos val="r"/>
              <c:showVal val="1"/>
            </c:dLbl>
            <c:dLbl>
              <c:idx val="5"/>
              <c:layout>
                <c:manualLayout>
                  <c:x val="-9.5730045329011184E-4"/>
                  <c:y val="3.2603983325613858E-2"/>
                </c:manualLayout>
              </c:layout>
              <c:dLblPos val="r"/>
              <c:showVal val="1"/>
            </c:dLbl>
            <c:dLbl>
              <c:idx val="6"/>
              <c:layout>
                <c:manualLayout>
                  <c:x val="-8.2869993715924562E-3"/>
                  <c:y val="3.9262868612011829E-2"/>
                </c:manualLayout>
              </c:layout>
              <c:dLblPos val="r"/>
              <c:showVal val="1"/>
            </c:dLbl>
            <c:dLbl>
              <c:idx val="7"/>
              <c:layout>
                <c:manualLayout>
                  <c:x val="-1.6597364516737687E-2"/>
                  <c:y val="4.4760969584684333E-2"/>
                </c:manualLayout>
              </c:layout>
              <c:spPr>
                <a:noFill/>
                <a:ln w="3175">
                  <a:pattFill prst="pct50">
                    <a:fgClr>
                      <a:srgbClr val="000000"/>
                    </a:fgClr>
                    <a:bgClr>
                      <a:srgbClr val="FFFFFF"/>
                    </a:bgClr>
                  </a:pattFill>
                  <a:prstDash val="solid"/>
                </a:ln>
              </c:spPr>
              <c:txPr>
                <a:bodyPr/>
                <a:lstStyle/>
                <a:p>
                  <a:pPr>
                    <a:defRPr sz="1400" b="1" i="0" u="none" strike="noStrike" baseline="0">
                      <a:solidFill>
                        <a:srgbClr val="000000"/>
                      </a:solidFill>
                      <a:latin typeface="Calibri"/>
                      <a:ea typeface="Calibri"/>
                      <a:cs typeface="Calibri"/>
                    </a:defRPr>
                  </a:pPr>
                  <a:endParaRPr lang="el-GR"/>
                </a:p>
              </c:txPr>
              <c:dLblPos val="r"/>
              <c:showVal val="1"/>
            </c:dLbl>
            <c:spPr>
              <a:noFill/>
              <a:ln w="25400">
                <a:noFill/>
              </a:ln>
            </c:spPr>
            <c:txPr>
              <a:bodyPr/>
              <a:lstStyle/>
              <a:p>
                <a:pPr>
                  <a:defRPr sz="1200" b="0" i="0" u="none" strike="noStrike" baseline="0">
                    <a:solidFill>
                      <a:srgbClr val="000000"/>
                    </a:solidFill>
                    <a:latin typeface="Calibri"/>
                    <a:ea typeface="Calibri"/>
                    <a:cs typeface="Calibri"/>
                  </a:defRPr>
                </a:pPr>
                <a:endParaRPr lang="el-GR"/>
              </a:p>
            </c:txPr>
            <c:showVal val="1"/>
          </c:dLbls>
          <c:cat>
            <c:numRef>
              <c:f>Φύλλο1!$A$2:$A$9</c:f>
              <c:numCache>
                <c:formatCode>General</c:formatCode>
                <c:ptCount val="8"/>
                <c:pt idx="0">
                  <c:v>1993</c:v>
                </c:pt>
                <c:pt idx="1">
                  <c:v>1996</c:v>
                </c:pt>
                <c:pt idx="2">
                  <c:v>1999</c:v>
                </c:pt>
                <c:pt idx="3">
                  <c:v>2002</c:v>
                </c:pt>
                <c:pt idx="4">
                  <c:v>2005</c:v>
                </c:pt>
                <c:pt idx="5">
                  <c:v>2008</c:v>
                </c:pt>
                <c:pt idx="6">
                  <c:v>2011</c:v>
                </c:pt>
                <c:pt idx="7">
                  <c:v>2013</c:v>
                </c:pt>
              </c:numCache>
            </c:numRef>
          </c:cat>
          <c:val>
            <c:numRef>
              <c:f>Φύλλο1!$B$2:$B$9</c:f>
              <c:numCache>
                <c:formatCode>0%</c:formatCode>
                <c:ptCount val="8"/>
                <c:pt idx="0">
                  <c:v>0.12000000000000002</c:v>
                </c:pt>
                <c:pt idx="1">
                  <c:v>0.18000000000000024</c:v>
                </c:pt>
                <c:pt idx="2">
                  <c:v>0.24000000000000021</c:v>
                </c:pt>
                <c:pt idx="3">
                  <c:v>0.28000000000000008</c:v>
                </c:pt>
                <c:pt idx="4">
                  <c:v>0.41000000000000031</c:v>
                </c:pt>
                <c:pt idx="5">
                  <c:v>0.53</c:v>
                </c:pt>
                <c:pt idx="6">
                  <c:v>0.64000000000000135</c:v>
                </c:pt>
                <c:pt idx="7">
                  <c:v>0.71000000000000063</c:v>
                </c:pt>
              </c:numCache>
            </c:numRef>
          </c:val>
        </c:ser>
        <c:ser>
          <c:idx val="1"/>
          <c:order val="1"/>
          <c:tx>
            <c:strRef>
              <c:f>Φύλλο1!$C$1</c:f>
              <c:strCache>
                <c:ptCount val="1"/>
                <c:pt idx="0">
                  <c:v>G250</c:v>
                </c:pt>
              </c:strCache>
            </c:strRef>
          </c:tx>
          <c:spPr>
            <a:ln w="25400">
              <a:solidFill>
                <a:srgbClr val="FF00FF"/>
              </a:solidFill>
              <a:prstDash val="solid"/>
            </a:ln>
          </c:spPr>
          <c:marker>
            <c:symbol val="triangle"/>
            <c:size val="7"/>
            <c:spPr>
              <a:solidFill>
                <a:srgbClr val="FF00FF"/>
              </a:solidFill>
              <a:ln>
                <a:solidFill>
                  <a:srgbClr val="FF00FF"/>
                </a:solidFill>
                <a:prstDash val="solid"/>
              </a:ln>
            </c:spPr>
          </c:marker>
          <c:dLbls>
            <c:dLbl>
              <c:idx val="2"/>
              <c:layout>
                <c:manualLayout>
                  <c:x val="-8.0394922396253246E-2"/>
                  <c:y val="-3.6901775513355127E-2"/>
                </c:manualLayout>
              </c:layout>
              <c:dLblPos val="r"/>
              <c:showVal val="1"/>
            </c:dLbl>
            <c:dLbl>
              <c:idx val="3"/>
              <c:layout>
                <c:manualLayout>
                  <c:x val="-8.4554880372367858E-2"/>
                  <c:y val="-4.5607781380268719E-2"/>
                </c:manualLayout>
              </c:layout>
              <c:dLblPos val="r"/>
              <c:showVal val="1"/>
            </c:dLbl>
            <c:dLbl>
              <c:idx val="4"/>
              <c:layout>
                <c:manualLayout>
                  <c:x val="-8.07910683290958E-2"/>
                  <c:y val="-4.3090072564458855E-2"/>
                </c:manualLayout>
              </c:layout>
              <c:dLblPos val="r"/>
              <c:showVal val="1"/>
            </c:dLbl>
            <c:dLbl>
              <c:idx val="5"/>
              <c:layout>
                <c:manualLayout>
                  <c:x val="-7.8611877184310411E-2"/>
                  <c:y val="-1.9395893160413763E-2"/>
                </c:manualLayout>
              </c:layout>
              <c:dLblPos val="r"/>
              <c:showVal val="1"/>
            </c:dLbl>
            <c:dLbl>
              <c:idx val="6"/>
              <c:layout>
                <c:manualLayout>
                  <c:x val="-9.3865512503737633E-2"/>
                  <c:y val="-6.7841284545314476E-3"/>
                </c:manualLayout>
              </c:layout>
              <c:dLblPos val="r"/>
              <c:showVal val="1"/>
            </c:dLbl>
            <c:dLbl>
              <c:idx val="7"/>
              <c:layout>
                <c:manualLayout>
                  <c:x val="-1.1843002676063008E-2"/>
                  <c:y val="4.6313787247182527E-2"/>
                </c:manualLayout>
              </c:layout>
              <c:spPr>
                <a:noFill/>
                <a:ln w="3175">
                  <a:pattFill prst="pct50">
                    <a:fgClr>
                      <a:srgbClr val="000000"/>
                    </a:fgClr>
                    <a:bgClr>
                      <a:srgbClr val="FFFFFF"/>
                    </a:bgClr>
                  </a:pattFill>
                  <a:prstDash val="solid"/>
                </a:ln>
              </c:spPr>
              <c:txPr>
                <a:bodyPr/>
                <a:lstStyle/>
                <a:p>
                  <a:pPr>
                    <a:defRPr sz="1400" b="1" i="0" u="none" strike="noStrike" baseline="0">
                      <a:solidFill>
                        <a:srgbClr val="000000"/>
                      </a:solidFill>
                      <a:latin typeface="Calibri"/>
                      <a:ea typeface="Calibri"/>
                      <a:cs typeface="Calibri"/>
                    </a:defRPr>
                  </a:pPr>
                  <a:endParaRPr lang="el-GR"/>
                </a:p>
              </c:txPr>
              <c:dLblPos val="r"/>
              <c:showVal val="1"/>
            </c:dLbl>
            <c:spPr>
              <a:noFill/>
              <a:ln w="25400">
                <a:noFill/>
              </a:ln>
            </c:spPr>
            <c:txPr>
              <a:bodyPr/>
              <a:lstStyle/>
              <a:p>
                <a:pPr>
                  <a:defRPr sz="1200" b="0" i="0" u="none" strike="noStrike" baseline="0">
                    <a:solidFill>
                      <a:srgbClr val="000000"/>
                    </a:solidFill>
                    <a:latin typeface="Calibri"/>
                    <a:ea typeface="Calibri"/>
                    <a:cs typeface="Calibri"/>
                  </a:defRPr>
                </a:pPr>
                <a:endParaRPr lang="el-GR"/>
              </a:p>
            </c:txPr>
            <c:showVal val="1"/>
          </c:dLbls>
          <c:cat>
            <c:numRef>
              <c:f>Φύλλο1!$A$2:$A$9</c:f>
              <c:numCache>
                <c:formatCode>General</c:formatCode>
                <c:ptCount val="8"/>
                <c:pt idx="0">
                  <c:v>1993</c:v>
                </c:pt>
                <c:pt idx="1">
                  <c:v>1996</c:v>
                </c:pt>
                <c:pt idx="2">
                  <c:v>1999</c:v>
                </c:pt>
                <c:pt idx="3">
                  <c:v>2002</c:v>
                </c:pt>
                <c:pt idx="4">
                  <c:v>2005</c:v>
                </c:pt>
                <c:pt idx="5">
                  <c:v>2008</c:v>
                </c:pt>
                <c:pt idx="6">
                  <c:v>2011</c:v>
                </c:pt>
                <c:pt idx="7">
                  <c:v>2013</c:v>
                </c:pt>
              </c:numCache>
            </c:numRef>
          </c:cat>
          <c:val>
            <c:numRef>
              <c:f>Φύλλο1!$C$2:$C$9</c:f>
              <c:numCache>
                <c:formatCode>General</c:formatCode>
                <c:ptCount val="8"/>
                <c:pt idx="2" formatCode="0%">
                  <c:v>0.35000000000000031</c:v>
                </c:pt>
                <c:pt idx="3" formatCode="0%">
                  <c:v>0.45</c:v>
                </c:pt>
                <c:pt idx="4" formatCode="0%">
                  <c:v>0.64000000000000135</c:v>
                </c:pt>
                <c:pt idx="5" formatCode="0%">
                  <c:v>0.83000000000000063</c:v>
                </c:pt>
                <c:pt idx="6" formatCode="0%">
                  <c:v>0.95000000000000062</c:v>
                </c:pt>
                <c:pt idx="7" formatCode="0%">
                  <c:v>0.93</c:v>
                </c:pt>
              </c:numCache>
            </c:numRef>
          </c:val>
        </c:ser>
        <c:dLbls>
          <c:showVal val="1"/>
        </c:dLbls>
        <c:marker val="1"/>
        <c:axId val="141980416"/>
        <c:axId val="142149120"/>
      </c:lineChart>
      <c:catAx>
        <c:axId val="141980416"/>
        <c:scaling>
          <c:orientation val="minMax"/>
        </c:scaling>
        <c:axPos val="b"/>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el-GR"/>
          </a:p>
        </c:txPr>
        <c:crossAx val="142149120"/>
        <c:crosses val="autoZero"/>
        <c:auto val="1"/>
        <c:lblAlgn val="ctr"/>
        <c:lblOffset val="100"/>
        <c:tickLblSkip val="1"/>
        <c:tickMarkSkip val="1"/>
      </c:catAx>
      <c:valAx>
        <c:axId val="142149120"/>
        <c:scaling>
          <c:orientation val="minMax"/>
          <c:max val="1"/>
          <c:min val="0"/>
        </c:scaling>
        <c:axPos val="l"/>
        <c:numFmt formatCode="0%" sourceLinked="1"/>
        <c:tickLblPos val="nextTo"/>
        <c:spPr>
          <a:ln w="3175">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el-GR"/>
          </a:p>
        </c:txPr>
        <c:crossAx val="141980416"/>
        <c:crosses val="autoZero"/>
        <c:crossBetween val="between"/>
        <c:majorUnit val="0.25"/>
      </c:valAx>
      <c:spPr>
        <a:solidFill>
          <a:srgbClr val="FFFFFF"/>
        </a:solidFill>
        <a:ln w="12700">
          <a:solidFill>
            <a:srgbClr val="808080"/>
          </a:solidFill>
          <a:prstDash val="solid"/>
        </a:ln>
      </c:spPr>
    </c:plotArea>
    <c:legend>
      <c:legendPos val="r"/>
      <c:layout>
        <c:manualLayout>
          <c:xMode val="edge"/>
          <c:yMode val="edge"/>
          <c:x val="0.20760713370946299"/>
          <c:y val="0.16705882352941195"/>
          <c:w val="0.15847872802249102"/>
          <c:h val="0.16235294117647117"/>
        </c:manualLayout>
      </c:layout>
      <c:spPr>
        <a:solidFill>
          <a:srgbClr val="FFFFFF"/>
        </a:solidFill>
        <a:ln w="3175">
          <a:solidFill>
            <a:srgbClr val="000000"/>
          </a:solidFill>
          <a:prstDash val="solid"/>
        </a:ln>
      </c:spPr>
      <c:txPr>
        <a:bodyPr/>
        <a:lstStyle/>
        <a:p>
          <a:pPr>
            <a:defRPr sz="1285" b="0" i="0" u="none" strike="noStrike" baseline="0">
              <a:solidFill>
                <a:srgbClr val="000000"/>
              </a:solidFill>
              <a:latin typeface="Calibri"/>
              <a:ea typeface="Calibri"/>
              <a:cs typeface="Calibri"/>
            </a:defRPr>
          </a:pPr>
          <a:endParaRPr lang="el-GR"/>
        </a:p>
      </c:txPr>
    </c:legend>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l-G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plotArea>
      <c:layout/>
      <c:lineChart>
        <c:grouping val="standard"/>
        <c:ser>
          <c:idx val="1"/>
          <c:order val="0"/>
          <c:marker>
            <c:spPr>
              <a:solidFill>
                <a:schemeClr val="accent1"/>
              </a:solidFill>
            </c:spPr>
          </c:marker>
          <c:dLbls>
            <c:dLbl>
              <c:idx val="0"/>
              <c:layout>
                <c:manualLayout>
                  <c:x val="-0.05"/>
                  <c:y val="-5.5555555555555643E-2"/>
                </c:manualLayout>
              </c:layout>
              <c:spPr/>
              <c:txPr>
                <a:bodyPr/>
                <a:lstStyle/>
                <a:p>
                  <a:pPr>
                    <a:defRPr/>
                  </a:pPr>
                  <a:endParaRPr lang="el-GR"/>
                </a:p>
              </c:txPr>
              <c:dLblPos val="r"/>
              <c:showVal val="1"/>
            </c:dLbl>
            <c:dLbl>
              <c:idx val="1"/>
              <c:layout>
                <c:manualLayout>
                  <c:x val="-5.2777777777777792E-2"/>
                  <c:y val="-6.0185185185185147E-2"/>
                </c:manualLayout>
              </c:layout>
              <c:spPr/>
              <c:txPr>
                <a:bodyPr/>
                <a:lstStyle/>
                <a:p>
                  <a:pPr>
                    <a:defRPr/>
                  </a:pPr>
                  <a:endParaRPr lang="el-GR"/>
                </a:p>
              </c:txPr>
              <c:dLblPos val="r"/>
              <c:showVal val="1"/>
            </c:dLbl>
            <c:showVal val="1"/>
          </c:dLbls>
          <c:cat>
            <c:numRef>
              <c:f>Φύλλο1!$A$52:$A$54</c:f>
              <c:numCache>
                <c:formatCode>General</c:formatCode>
                <c:ptCount val="3"/>
                <c:pt idx="0">
                  <c:v>2000</c:v>
                </c:pt>
                <c:pt idx="1">
                  <c:v>2006</c:v>
                </c:pt>
                <c:pt idx="2">
                  <c:v>2014</c:v>
                </c:pt>
              </c:numCache>
            </c:numRef>
          </c:cat>
          <c:val>
            <c:numRef>
              <c:f>Φύλλο1!$B$52:$B$54</c:f>
              <c:numCache>
                <c:formatCode>General</c:formatCode>
                <c:ptCount val="3"/>
                <c:pt idx="0">
                  <c:v>16</c:v>
                </c:pt>
                <c:pt idx="1">
                  <c:v>86</c:v>
                </c:pt>
                <c:pt idx="2">
                  <c:v>120</c:v>
                </c:pt>
              </c:numCache>
            </c:numRef>
          </c:val>
        </c:ser>
        <c:marker val="1"/>
        <c:axId val="145846656"/>
        <c:axId val="145848192"/>
      </c:lineChart>
      <c:catAx>
        <c:axId val="145846656"/>
        <c:scaling>
          <c:orientation val="minMax"/>
        </c:scaling>
        <c:axPos val="b"/>
        <c:numFmt formatCode="General" sourceLinked="1"/>
        <c:tickLblPos val="nextTo"/>
        <c:crossAx val="145848192"/>
        <c:crosses val="autoZero"/>
        <c:auto val="1"/>
        <c:lblAlgn val="ctr"/>
        <c:lblOffset val="100"/>
      </c:catAx>
      <c:valAx>
        <c:axId val="145848192"/>
        <c:scaling>
          <c:orientation val="minMax"/>
        </c:scaling>
        <c:axPos val="l"/>
        <c:numFmt formatCode="General" sourceLinked="1"/>
        <c:tickLblPos val="nextTo"/>
        <c:crossAx val="14584665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7.9042213473315831E-2"/>
          <c:y val="7.1759259259259259E-2"/>
          <c:w val="0.52222222222222159"/>
          <c:h val="0.87037037037037213"/>
        </c:manualLayout>
      </c:layout>
      <c:pieChart>
        <c:varyColors val="1"/>
        <c:ser>
          <c:idx val="0"/>
          <c:order val="0"/>
          <c:explosion val="6"/>
          <c:dPt>
            <c:idx val="0"/>
            <c:explosion val="25"/>
          </c:dPt>
          <c:dLbls>
            <c:dLbl>
              <c:idx val="0"/>
              <c:layout>
                <c:manualLayout>
                  <c:x val="1.2232502187226596E-2"/>
                  <c:y val="-6.787693205016071E-4"/>
                </c:manualLayout>
              </c:layout>
              <c:showVal val="1"/>
            </c:dLbl>
            <c:dLbl>
              <c:idx val="1"/>
              <c:layout>
                <c:manualLayout>
                  <c:x val="-2.7982502187226685E-2"/>
                  <c:y val="6.2736949547973434E-3"/>
                </c:manualLayout>
              </c:layout>
              <c:showVal val="1"/>
            </c:dLbl>
            <c:showVal val="1"/>
            <c:showLeaderLines val="1"/>
          </c:dLbls>
          <c:cat>
            <c:strRef>
              <c:f>Φύλλο1!$A$112:$A$113</c:f>
              <c:strCache>
                <c:ptCount val="2"/>
                <c:pt idx="0">
                  <c:v>GRI</c:v>
                </c:pt>
                <c:pt idx="1">
                  <c:v>non-GRI</c:v>
                </c:pt>
              </c:strCache>
            </c:strRef>
          </c:cat>
          <c:val>
            <c:numRef>
              <c:f>Φύλλο1!$B$112:$B$113</c:f>
              <c:numCache>
                <c:formatCode>0%</c:formatCode>
                <c:ptCount val="2"/>
                <c:pt idx="0">
                  <c:v>0.78</c:v>
                </c:pt>
                <c:pt idx="1">
                  <c:v>0.22</c:v>
                </c:pt>
              </c:numCache>
            </c:numRef>
          </c:val>
        </c:ser>
        <c:firstSliceAng val="0"/>
      </c:pieChart>
    </c:plotArea>
    <c:legend>
      <c:legendPos val="r"/>
      <c:layout>
        <c:manualLayout>
          <c:xMode val="edge"/>
          <c:yMode val="edge"/>
          <c:x val="0.76771273659183981"/>
          <c:y val="0.70839749099196159"/>
          <c:w val="0.20743906729915434"/>
          <c:h val="0.1987723275143527"/>
        </c:manualLayout>
      </c:layout>
      <c:txPr>
        <a:bodyPr/>
        <a:lstStyle/>
        <a:p>
          <a:pPr rtl="0">
            <a:defRPr/>
          </a:pPr>
          <a:endParaRPr lang="el-GR"/>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7.4776135091543891E-2"/>
          <c:y val="0.16405621812132554"/>
          <c:w val="0.52222222222222159"/>
          <c:h val="0.87037037037037235"/>
        </c:manualLayout>
      </c:layout>
      <c:pieChart>
        <c:varyColors val="1"/>
        <c:ser>
          <c:idx val="0"/>
          <c:order val="0"/>
          <c:explosion val="6"/>
          <c:dPt>
            <c:idx val="0"/>
            <c:explosion val="7"/>
          </c:dPt>
          <c:dLbls>
            <c:dLbl>
              <c:idx val="0"/>
              <c:layout>
                <c:manualLayout>
                  <c:x val="1.2232502187226596E-2"/>
                  <c:y val="-6.7876932050160753E-4"/>
                </c:manualLayout>
              </c:layout>
              <c:showVal val="1"/>
            </c:dLbl>
            <c:dLbl>
              <c:idx val="1"/>
              <c:layout>
                <c:manualLayout>
                  <c:x val="2.0460358056266E-2"/>
                  <c:y val="-0.12335593467483232"/>
                </c:manualLayout>
              </c:layout>
              <c:showVal val="1"/>
            </c:dLbl>
            <c:showVal val="1"/>
            <c:showLeaderLines val="1"/>
          </c:dLbls>
          <c:cat>
            <c:strRef>
              <c:f>Φύλλο1!$A$116:$A$117</c:f>
              <c:strCache>
                <c:ptCount val="2"/>
                <c:pt idx="0">
                  <c:v>GC COP</c:v>
                </c:pt>
                <c:pt idx="1">
                  <c:v>non-GC COP</c:v>
                </c:pt>
              </c:strCache>
            </c:strRef>
          </c:cat>
          <c:val>
            <c:numRef>
              <c:f>Φύλλο1!$B$116:$B$117</c:f>
              <c:numCache>
                <c:formatCode>0%</c:formatCode>
                <c:ptCount val="2"/>
                <c:pt idx="0">
                  <c:v>0.56999999999999995</c:v>
                </c:pt>
                <c:pt idx="1">
                  <c:v>0.43000000000000038</c:v>
                </c:pt>
              </c:numCache>
            </c:numRef>
          </c:val>
        </c:ser>
        <c:firstSliceAng val="0"/>
      </c:pieChart>
    </c:plotArea>
    <c:legend>
      <c:legendPos val="r"/>
      <c:layout>
        <c:manualLayout>
          <c:xMode val="edge"/>
          <c:yMode val="edge"/>
          <c:x val="0.68070497680679165"/>
          <c:y val="0.75236658452755256"/>
          <c:w val="0.28516612142163"/>
          <c:h val="0.1987723275143527"/>
        </c:manualLayout>
      </c:layout>
      <c:txPr>
        <a:bodyPr/>
        <a:lstStyle/>
        <a:p>
          <a:pPr rtl="0">
            <a:defRPr/>
          </a:pPr>
          <a:endParaRPr lang="el-GR"/>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7.2222110343623983E-2"/>
          <c:y val="9.888159813356702E-2"/>
          <c:w val="0.58360325163958282"/>
          <c:h val="0.79232247010790258"/>
        </c:manualLayout>
      </c:layout>
      <c:pieChart>
        <c:varyColors val="1"/>
        <c:ser>
          <c:idx val="0"/>
          <c:order val="0"/>
          <c:explosion val="6"/>
          <c:dPt>
            <c:idx val="0"/>
            <c:explosion val="0"/>
          </c:dPt>
          <c:dLbls>
            <c:dLbl>
              <c:idx val="0"/>
              <c:layout>
                <c:manualLayout>
                  <c:x val="1.2232502187226596E-2"/>
                  <c:y val="-6.7876932050160807E-4"/>
                </c:manualLayout>
              </c:layout>
              <c:showVal val="1"/>
            </c:dLbl>
            <c:dLbl>
              <c:idx val="1"/>
              <c:layout>
                <c:manualLayout>
                  <c:x val="-2.7280477408354799E-2"/>
                  <c:y val="-1.2244823563721202E-2"/>
                </c:manualLayout>
              </c:layout>
              <c:showVal val="1"/>
            </c:dLbl>
            <c:showVal val="1"/>
            <c:showLeaderLines val="1"/>
          </c:dLbls>
          <c:cat>
            <c:strRef>
              <c:f>Φύλλο1!$A$120:$A$121</c:f>
              <c:strCache>
                <c:ptCount val="2"/>
                <c:pt idx="0">
                  <c:v>ISO26000</c:v>
                </c:pt>
                <c:pt idx="1">
                  <c:v>non-ISO26000</c:v>
                </c:pt>
              </c:strCache>
            </c:strRef>
          </c:cat>
          <c:val>
            <c:numRef>
              <c:f>Φύλλο1!$B$120:$B$121</c:f>
              <c:numCache>
                <c:formatCode>0%</c:formatCode>
                <c:ptCount val="2"/>
                <c:pt idx="0">
                  <c:v>0.24000000000000021</c:v>
                </c:pt>
                <c:pt idx="1">
                  <c:v>0.76000000000000134</c:v>
                </c:pt>
              </c:numCache>
            </c:numRef>
          </c:val>
        </c:ser>
        <c:firstSliceAng val="0"/>
      </c:pieChart>
    </c:plotArea>
    <c:legend>
      <c:legendPos val="r"/>
      <c:layout>
        <c:manualLayout>
          <c:xMode val="edge"/>
          <c:yMode val="edge"/>
          <c:x val="0.66761079098425991"/>
          <c:y val="0.71999420230232936"/>
          <c:w val="0.30031865379425426"/>
          <c:h val="0.19932015919366872"/>
        </c:manualLayout>
      </c:layout>
      <c:txPr>
        <a:bodyPr/>
        <a:lstStyle/>
        <a:p>
          <a:pPr rtl="0">
            <a:defRPr/>
          </a:pPr>
          <a:endParaRPr lang="el-GR"/>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6.02789791606263E-2"/>
          <c:y val="0.11669385163800106"/>
          <c:w val="0.5946698484697841"/>
          <c:h val="0.81529943355146373"/>
        </c:manualLayout>
      </c:layout>
      <c:pieChart>
        <c:varyColors val="1"/>
        <c:ser>
          <c:idx val="0"/>
          <c:order val="0"/>
          <c:explosion val="13"/>
          <c:dLbls>
            <c:dLbl>
              <c:idx val="0"/>
              <c:layout>
                <c:manualLayout>
                  <c:x val="1.2232502187226596E-2"/>
                  <c:y val="-6.7876932050160851E-4"/>
                </c:manualLayout>
              </c:layout>
              <c:showVal val="1"/>
            </c:dLbl>
            <c:dLbl>
              <c:idx val="1"/>
              <c:layout>
                <c:manualLayout>
                  <c:x val="-2.5233029803621292E-2"/>
                  <c:y val="0.11972503437070382"/>
                </c:manualLayout>
              </c:layout>
              <c:showVal val="1"/>
            </c:dLbl>
            <c:showVal val="1"/>
            <c:showLeaderLines val="1"/>
          </c:dLbls>
          <c:cat>
            <c:strRef>
              <c:f>Φύλλο1!$A$124:$A$125</c:f>
              <c:strCache>
                <c:ptCount val="2"/>
                <c:pt idx="0">
                  <c:v>Με εξωτερική επαλήθευση</c:v>
                </c:pt>
                <c:pt idx="1">
                  <c:v>Χωρίς εξωτερική επαλήθευση</c:v>
                </c:pt>
              </c:strCache>
            </c:strRef>
          </c:cat>
          <c:val>
            <c:numRef>
              <c:f>Φύλλο1!$B$124:$B$125</c:f>
              <c:numCache>
                <c:formatCode>0%</c:formatCode>
                <c:ptCount val="2"/>
                <c:pt idx="0">
                  <c:v>0.45</c:v>
                </c:pt>
                <c:pt idx="1">
                  <c:v>0.55000000000000004</c:v>
                </c:pt>
              </c:numCache>
            </c:numRef>
          </c:val>
        </c:ser>
        <c:firstSliceAng val="0"/>
      </c:pieChart>
    </c:plotArea>
    <c:legend>
      <c:legendPos val="r"/>
      <c:layout>
        <c:manualLayout>
          <c:xMode val="edge"/>
          <c:yMode val="edge"/>
          <c:x val="0.62845409507215078"/>
          <c:y val="0.68352452251750861"/>
          <c:w val="0.36933063763902696"/>
          <c:h val="0.27931321084864491"/>
        </c:manualLayout>
      </c:layout>
      <c:txPr>
        <a:bodyPr/>
        <a:lstStyle/>
        <a:p>
          <a:pPr rtl="0">
            <a:defRPr/>
          </a:pPr>
          <a:endParaRPr lang="el-GR"/>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l-GR"/>
  <c:chart>
    <c:plotArea>
      <c:layout>
        <c:manualLayout>
          <c:layoutTarget val="inner"/>
          <c:xMode val="edge"/>
          <c:yMode val="edge"/>
          <c:x val="0.10015507436570428"/>
          <c:y val="5.1400554097404488E-2"/>
          <c:w val="0.87110870516185468"/>
          <c:h val="0.82798993875765459"/>
        </c:manualLayout>
      </c:layout>
      <c:lineChart>
        <c:grouping val="standard"/>
        <c:ser>
          <c:idx val="1"/>
          <c:order val="0"/>
          <c:tx>
            <c:v>ISO 14001</c:v>
          </c:tx>
          <c:dLbls>
            <c:dLbl>
              <c:idx val="0"/>
              <c:layout>
                <c:manualLayout>
                  <c:x val="3.333333333333334E-2"/>
                  <c:y val="-4.1666666666666664E-2"/>
                </c:manualLayout>
              </c:layout>
              <c:spPr/>
              <c:txPr>
                <a:bodyPr/>
                <a:lstStyle/>
                <a:p>
                  <a:pPr>
                    <a:defRPr/>
                  </a:pPr>
                  <a:endParaRPr lang="el-GR"/>
                </a:p>
              </c:txPr>
              <c:dLblPos val="r"/>
              <c:showVal val="1"/>
            </c:dLbl>
            <c:dLbl>
              <c:idx val="1"/>
              <c:layout>
                <c:manualLayout>
                  <c:x val="-1.1111111111111125E-2"/>
                  <c:y val="-6.9444444444444503E-2"/>
                </c:manualLayout>
              </c:layout>
              <c:spPr/>
              <c:txPr>
                <a:bodyPr/>
                <a:lstStyle/>
                <a:p>
                  <a:pPr>
                    <a:defRPr/>
                  </a:pPr>
                  <a:endParaRPr lang="el-GR"/>
                </a:p>
              </c:txPr>
              <c:dLblPos val="r"/>
              <c:showVal val="1"/>
            </c:dLbl>
            <c:dLbl>
              <c:idx val="2"/>
              <c:layout>
                <c:manualLayout>
                  <c:x val="-2.7777777777777939E-3"/>
                  <c:y val="-5.5555555555555455E-2"/>
                </c:manualLayout>
              </c:layout>
              <c:spPr/>
              <c:txPr>
                <a:bodyPr/>
                <a:lstStyle/>
                <a:p>
                  <a:pPr>
                    <a:defRPr/>
                  </a:pPr>
                  <a:endParaRPr lang="el-GR"/>
                </a:p>
              </c:txPr>
              <c:dLblPos val="r"/>
              <c:showVal val="1"/>
            </c:dLbl>
            <c:showVal val="1"/>
          </c:dLbls>
          <c:cat>
            <c:numRef>
              <c:f>Φύλλο1!$A$72:$A$74</c:f>
              <c:numCache>
                <c:formatCode>General</c:formatCode>
                <c:ptCount val="3"/>
                <c:pt idx="0">
                  <c:v>2001</c:v>
                </c:pt>
                <c:pt idx="1">
                  <c:v>2006</c:v>
                </c:pt>
                <c:pt idx="2">
                  <c:v>2013</c:v>
                </c:pt>
              </c:numCache>
            </c:numRef>
          </c:cat>
          <c:val>
            <c:numRef>
              <c:f>Φύλλο1!$B$72:$B$74</c:f>
              <c:numCache>
                <c:formatCode>General</c:formatCode>
                <c:ptCount val="3"/>
                <c:pt idx="0">
                  <c:v>66</c:v>
                </c:pt>
                <c:pt idx="1">
                  <c:v>259</c:v>
                </c:pt>
                <c:pt idx="2">
                  <c:v>1025</c:v>
                </c:pt>
              </c:numCache>
            </c:numRef>
          </c:val>
        </c:ser>
        <c:ser>
          <c:idx val="0"/>
          <c:order val="1"/>
          <c:tx>
            <c:v>ISO 9001</c:v>
          </c:tx>
          <c:dLbls>
            <c:dLbl>
              <c:idx val="0"/>
              <c:layout>
                <c:manualLayout>
                  <c:x val="-4.1666666666666664E-2"/>
                  <c:y val="-7.8703703703703734E-2"/>
                </c:manualLayout>
              </c:layout>
              <c:spPr/>
              <c:txPr>
                <a:bodyPr/>
                <a:lstStyle/>
                <a:p>
                  <a:pPr>
                    <a:defRPr/>
                  </a:pPr>
                  <a:endParaRPr lang="el-GR"/>
                </a:p>
              </c:txPr>
              <c:dLblPos val="r"/>
              <c:showVal val="1"/>
            </c:dLbl>
            <c:dLbl>
              <c:idx val="1"/>
              <c:layout>
                <c:manualLayout>
                  <c:x val="-6.1111111111111123E-2"/>
                  <c:y val="-5.5555555555555455E-2"/>
                </c:manualLayout>
              </c:layout>
              <c:spPr/>
              <c:txPr>
                <a:bodyPr/>
                <a:lstStyle/>
                <a:p>
                  <a:pPr>
                    <a:defRPr/>
                  </a:pPr>
                  <a:endParaRPr lang="el-GR"/>
                </a:p>
              </c:txPr>
              <c:dLblPos val="r"/>
              <c:showVal val="1"/>
            </c:dLbl>
            <c:dLbl>
              <c:idx val="2"/>
              <c:layout>
                <c:manualLayout>
                  <c:x val="-9.4444444444444525E-2"/>
                  <c:y val="-4.1666666666666671E-2"/>
                </c:manualLayout>
              </c:layout>
              <c:spPr/>
              <c:txPr>
                <a:bodyPr/>
                <a:lstStyle/>
                <a:p>
                  <a:pPr>
                    <a:defRPr/>
                  </a:pPr>
                  <a:endParaRPr lang="el-GR"/>
                </a:p>
              </c:txPr>
              <c:dLblPos val="r"/>
              <c:showVal val="1"/>
            </c:dLbl>
            <c:showVal val="1"/>
          </c:dLbls>
          <c:val>
            <c:numRef>
              <c:f>Φύλλο1!$C$72:$C$74</c:f>
              <c:numCache>
                <c:formatCode>General</c:formatCode>
                <c:ptCount val="3"/>
                <c:pt idx="0">
                  <c:v>31</c:v>
                </c:pt>
                <c:pt idx="1">
                  <c:v>4753</c:v>
                </c:pt>
                <c:pt idx="2">
                  <c:v>7293</c:v>
                </c:pt>
              </c:numCache>
            </c:numRef>
          </c:val>
        </c:ser>
        <c:marker val="1"/>
        <c:axId val="141781248"/>
        <c:axId val="141795328"/>
      </c:lineChart>
      <c:catAx>
        <c:axId val="141781248"/>
        <c:scaling>
          <c:orientation val="minMax"/>
        </c:scaling>
        <c:axPos val="b"/>
        <c:numFmt formatCode="General" sourceLinked="1"/>
        <c:tickLblPos val="nextTo"/>
        <c:crossAx val="141795328"/>
        <c:crosses val="autoZero"/>
        <c:auto val="1"/>
        <c:lblAlgn val="ctr"/>
        <c:lblOffset val="100"/>
      </c:catAx>
      <c:valAx>
        <c:axId val="141795328"/>
        <c:scaling>
          <c:orientation val="minMax"/>
        </c:scaling>
        <c:axPos val="l"/>
        <c:numFmt formatCode="General" sourceLinked="1"/>
        <c:tickLblPos val="nextTo"/>
        <c:crossAx val="141781248"/>
        <c:crosses val="autoZero"/>
        <c:crossBetween val="between"/>
      </c:valAx>
    </c:plotArea>
    <c:legend>
      <c:legendPos val="r"/>
      <c:layout>
        <c:manualLayout>
          <c:xMode val="edge"/>
          <c:yMode val="edge"/>
          <c:x val="0.16293044619422642"/>
          <c:y val="0.2357271328544753"/>
          <c:w val="0.19818066491688502"/>
          <c:h val="0.15116333028904336"/>
        </c:manualLayou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8.9896832202905327E-2"/>
          <c:y val="5.1400554097404488E-2"/>
          <c:w val="0.88491712793326516"/>
          <c:h val="0.69215976401741319"/>
        </c:manualLayout>
      </c:layout>
      <c:barChart>
        <c:barDir val="col"/>
        <c:grouping val="clustered"/>
        <c:ser>
          <c:idx val="0"/>
          <c:order val="0"/>
          <c:dLbls>
            <c:showVal val="1"/>
          </c:dLbls>
          <c:cat>
            <c:strRef>
              <c:f>Φύλλο1!$N$70:$N$80</c:f>
              <c:strCache>
                <c:ptCount val="11"/>
                <c:pt idx="0">
                  <c:v>TITAN</c:v>
                </c:pt>
                <c:pt idx="1">
                  <c:v>OTE</c:v>
                </c:pt>
                <c:pt idx="2">
                  <c:v>Ιντεραμερικαν</c:v>
                </c:pt>
                <c:pt idx="3">
                  <c:v>ΕΤΕ</c:v>
                </c:pt>
                <c:pt idx="4">
                  <c:v>Μυτιληναίος</c:v>
                </c:pt>
                <c:pt idx="5">
                  <c:v>ΧΑΛΚΟΡ</c:v>
                </c:pt>
                <c:pt idx="6">
                  <c:v>ΕΛΒΑΛ</c:v>
                </c:pt>
                <c:pt idx="7">
                  <c:v>Σωλ. Κορίνθου</c:v>
                </c:pt>
                <c:pt idx="8">
                  <c:v>Vodafone</c:v>
                </c:pt>
                <c:pt idx="9">
                  <c:v>Ελλ. Καλώδια</c:v>
                </c:pt>
                <c:pt idx="10">
                  <c:v>ΔΕΗ</c:v>
                </c:pt>
              </c:strCache>
            </c:strRef>
          </c:cat>
          <c:val>
            <c:numRef>
              <c:f>Φύλλο1!$O$70:$O$80</c:f>
              <c:numCache>
                <c:formatCode>0%</c:formatCode>
                <c:ptCount val="11"/>
                <c:pt idx="0">
                  <c:v>0.65000000000000013</c:v>
                </c:pt>
                <c:pt idx="1">
                  <c:v>0.60000000000000009</c:v>
                </c:pt>
                <c:pt idx="2">
                  <c:v>0.60000000000000009</c:v>
                </c:pt>
                <c:pt idx="3">
                  <c:v>0.59</c:v>
                </c:pt>
                <c:pt idx="4">
                  <c:v>0.58000000000000007</c:v>
                </c:pt>
                <c:pt idx="5">
                  <c:v>0.55000000000000004</c:v>
                </c:pt>
                <c:pt idx="6">
                  <c:v>0.55000000000000004</c:v>
                </c:pt>
                <c:pt idx="7">
                  <c:v>0.54</c:v>
                </c:pt>
                <c:pt idx="8">
                  <c:v>0.53</c:v>
                </c:pt>
                <c:pt idx="9">
                  <c:v>0.5</c:v>
                </c:pt>
                <c:pt idx="10">
                  <c:v>0.49000000000000005</c:v>
                </c:pt>
              </c:numCache>
            </c:numRef>
          </c:val>
        </c:ser>
        <c:axId val="142153984"/>
        <c:axId val="143249408"/>
      </c:barChart>
      <c:catAx>
        <c:axId val="142153984"/>
        <c:scaling>
          <c:orientation val="minMax"/>
        </c:scaling>
        <c:axPos val="b"/>
        <c:tickLblPos val="nextTo"/>
        <c:crossAx val="143249408"/>
        <c:crosses val="autoZero"/>
        <c:auto val="1"/>
        <c:lblAlgn val="ctr"/>
        <c:lblOffset val="100"/>
      </c:catAx>
      <c:valAx>
        <c:axId val="143249408"/>
        <c:scaling>
          <c:orientation val="minMax"/>
        </c:scaling>
        <c:axPos val="l"/>
        <c:numFmt formatCode="0%" sourceLinked="1"/>
        <c:tickLblPos val="nextTo"/>
        <c:crossAx val="142153984"/>
        <c:crosses val="autoZero"/>
        <c:crossBetween val="between"/>
      </c:valAx>
    </c:plotArea>
    <c:plotVisOnly val="1"/>
  </c:chart>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8051</Words>
  <Characters>43481</Characters>
  <Application>Microsoft Office Word</Application>
  <DocSecurity>0</DocSecurity>
  <Lines>362</Lines>
  <Paragraphs>102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2015-06-21T21:34:00Z</dcterms:created>
  <dcterms:modified xsi:type="dcterms:W3CDTF">2015-06-21T21:34:00Z</dcterms:modified>
</cp:coreProperties>
</file>